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481—1053.6</w:t>
      </w:r>
      <w:r>
        <w:rPr>
          <w:rFonts w:ascii="Times New Roman" w:hAnsi="Times New Roman"/>
          <w:b/>
          <w:i w:val="false"/>
          <w:color w:val="000000"/>
          <w:sz w:val="22"/>
        </w:rPr>
        <w:t xml:space="preserve">(542B) </w:t>
      </w:r>
      <w:r>
        <w:rPr>
          <w:rFonts w:ascii="Times New Roman" w:hAnsi="Times New Roman"/>
          <w:b/>
          <w:i w:val="false"/>
          <w:color w:val="000000"/>
          <w:sz w:val="22"/>
        </w:rPr>
        <w:t xml:space="preserve">Publication of decisions. </w:t>
      </w:r>
      <w:r>
        <w:rPr>
          <w:rFonts w:ascii="Times New Roman" w:hAnsi="Times New Roman"/>
          <w:b w:val="false"/>
          <w:i w:val="false"/>
          <w:color w:val="000000"/>
          <w:sz w:val="22"/>
        </w:rPr>
        <w:t xml:space="preserve">In addition to publication requirements found at </w:t>
      </w:r>
      <w:hyperlink r:id="rId4">
        <w:r>
          <w:rPr>
            <w:rStyle w:val="Hyperlink"/>
            <w:rFonts w:ascii="Times New Roman" w:hAnsi="Times New Roman"/>
            <w:b w:val="false"/>
            <w:i w:val="false"/>
            <w:color w:val="000000"/>
            <w:sz w:val="22"/>
          </w:rPr>
          <w:t>481—subrule 506.31</w:t>
        </w:r>
      </w:hyperlink>
      <w:r>
        <w:rPr>
          <w:rFonts w:ascii="Times New Roman" w:hAnsi="Times New Roman"/>
          <w:b w:val="false"/>
          <w:i w:val="false"/>
          <w:color w:val="000000"/>
          <w:sz w:val="22"/>
        </w:rPr>
        <w:t>, the following notifications shall be issued: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Following suspension of a professional land surveyor’s license, notification must be issued to the county recorders and county auditors of the county of residence and immediately adjacent counties in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Following revocation of a professional land surveyor’s license, notification must be mailed to all county auditors in Iowa and the county recorders in the county of residence and immediately adjacent counties in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Following the suspension or revocation of the license of a professional engineer or professional land surveyor, notification is issued to other boards of examiners for engineers and land surveyors under the jurisdiction of the government of the United States. This notification may be made through the National Council of Examiners for Engineering and Surveying or other national organizations recognized by the board. In addition, if the licensee is known to be registered in another nation in North America, the appropriate board(s) are notified of the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506.3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