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481—1053.3</w:t>
      </w:r>
      <w:r>
        <w:rPr>
          <w:rFonts w:ascii="Times New Roman" w:hAnsi="Times New Roman"/>
          <w:b/>
          <w:i w:val="false"/>
          <w:color w:val="000000"/>
          <w:sz w:val="22"/>
        </w:rPr>
        <w:t xml:space="preserve">(10A,17A,272C,542B)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authority pursuant to Iowa Code chapters </w:t>
      </w:r>
      <w:hyperlink r:id="rId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those chapters and the rules promulgated thereunder and may initiate disciplinary action against a licensee holding an active, inactive or lapsed license on any of the grounds identified in Iowa Code section </w:t>
      </w:r>
      <w:hyperlink r:id="rId8">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1053.3(1)</w:t>
      </w:r>
      <w:r>
        <w:rPr>
          <w:rFonts w:ascii="Times New Roman" w:hAnsi="Times New Roman"/>
          <w:b w:val="false"/>
          <w:i w:val="false"/>
          <w:color w:val="000000"/>
          <w:sz w:val="22"/>
        </w:rPr>
        <w:t> </w:t>
      </w:r>
      <w:r>
        <w:rPr>
          <w:rFonts w:ascii="Times New Roman" w:hAnsi="Times New Roman"/>
          <w:b w:val="false"/>
          <w:i w:val="false"/>
          <w:color w:val="000000"/>
          <w:sz w:val="22"/>
        </w:rPr>
        <w:t>Fraud or deceit in procuring or attempting to procure an initial, comity, renewal, or reinstated license includes any intentional perversion of or reckless disregard for the truth when an application, or information in support of another’s application, is submitted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or continuing education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minimum standards of acceptable and prevailing practice of engineering or land surveying in this state, including the land surveying standards set forth in Iowa Code chapters </w:t>
      </w:r>
      <w:hyperlink r:id="rId9">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355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481—Chapters 1055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1056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engineering or land surveying practices that are outside the technical competence of the licensee without taking reasonable steps to associate with a competent licensee or other steps to ensure competent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act or omission that demonstrates an inability to safely practice in a manner protective of the public’s interest, including acts or omissions described in rule </w:t>
      </w:r>
      <w:hyperlink r:id="rId13">
        <w:r>
          <w:rPr>
            <w:rStyle w:val="Hyperlink"/>
            <w:rFonts w:ascii="Times New Roman" w:hAnsi="Times New Roman"/>
            <w:b w:val="false"/>
            <w:i w:val="false"/>
            <w:color w:val="000000"/>
            <w:sz w:val="22"/>
          </w:rPr>
          <w:t>481—1052.3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1053.3(3)</w:t>
      </w:r>
      <w:r>
        <w:rPr>
          <w:rFonts w:ascii="Times New Roman" w:hAnsi="Times New Roman"/>
          <w:b w:val="false"/>
          <w:i w:val="false"/>
          <w:color w:val="000000"/>
          <w:sz w:val="22"/>
        </w:rPr>
        <w:t> </w:t>
      </w:r>
      <w:r>
        <w:rPr>
          <w:rFonts w:ascii="Times New Roman" w:hAnsi="Times New Roman"/>
          <w:b w:val="false"/>
          <w:i w:val="false"/>
          <w:color w:val="000000"/>
          <w:sz w:val="22"/>
        </w:rPr>
        <w:t>Deceptive practices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or as a condition of probation or in a reference submitted for an examination or a license applicant or in any reports identified in this rule or rule </w:t>
      </w:r>
      <w:hyperlink r:id="rId14">
        <w:r>
          <w:rPr>
            <w:rStyle w:val="Hyperlink"/>
            <w:rFonts w:ascii="Times New Roman" w:hAnsi="Times New Roman"/>
            <w:b w:val="false"/>
            <w:i w:val="false"/>
            <w:color w:val="000000"/>
            <w:sz w:val="22"/>
          </w:rPr>
          <w:t>481—1052.3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the license, signature, or seal of another or of a fictitious licensee, or otherwise falsely impersonating a person holding an engineering or land surveying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professional engineer or professional land surveyor after the license has been suspended, revoked, surrendered, or placed on inactive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15">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xml:space="preserve"> or associated rules in </w:t>
      </w:r>
      <w:hyperlink r:id="rId16">
        <w:r>
          <w:rPr>
            <w:rStyle w:val="Hyperlink"/>
            <w:rFonts w:ascii="Times New Roman" w:hAnsi="Times New Roman"/>
            <w:b w:val="false"/>
            <w:i w:val="false"/>
            <w:color w:val="000000"/>
            <w:sz w:val="22"/>
          </w:rPr>
          <w:t>481—Chapter 1050</w:t>
        </w:r>
      </w:hyperlink>
      <w:r>
        <w:rPr>
          <w:rFonts w:ascii="Times New Roman" w:hAnsi="Times New Roman"/>
          <w:b w:val="false"/>
          <w:i w:val="false"/>
          <w:color w:val="000000"/>
          <w:sz w:val="22"/>
        </w:rPr>
        <w:t xml:space="preserve"> involving a licensee’s seal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1053.3(4)</w:t>
      </w:r>
      <w:r>
        <w:rPr>
          <w:rFonts w:ascii="Times New Roman" w:hAnsi="Times New Roman"/>
          <w:b w:val="false"/>
          <w:i w:val="false"/>
          <w:color w:val="000000"/>
          <w:sz w:val="22"/>
        </w:rPr>
        <w:t> </w:t>
      </w:r>
      <w:r>
        <w:rPr>
          <w:rFonts w:ascii="Times New Roman" w:hAnsi="Times New Roman"/>
          <w:b w:val="false"/>
          <w:i w:val="false"/>
          <w:color w:val="000000"/>
          <w:sz w:val="22"/>
        </w:rPr>
        <w:t>Behaviors and conduct that are unethical or harmful or detrimental to the public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the code of professional conduct in </w:t>
      </w:r>
      <w:hyperlink r:id="rId17">
        <w:r>
          <w:rPr>
            <w:rStyle w:val="Hyperlink"/>
            <w:rFonts w:ascii="Times New Roman" w:hAnsi="Times New Roman"/>
            <w:b w:val="false"/>
            <w:i w:val="false"/>
            <w:color w:val="000000"/>
            <w:sz w:val="22"/>
          </w:rPr>
          <w:t>481—Chapter 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engineering or land surveying or if such behavior otherwise provides a reasonable basis for the board to conclude that such behavior could occur within such practice and, if so,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 violation of a provision of Iowa Code section </w:t>
      </w:r>
      <w:hyperlink r:id="rId18">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1053.3(5)</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proper qualifications, as provided in Iowa Code section </w:t>
      </w:r>
      <w:hyperlink r:id="rId19">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an engineer or land surveyor without satisfying the continuing education required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20">
        <w:r>
          <w:rPr>
            <w:rStyle w:val="Hyperlink"/>
            <w:rFonts w:ascii="Times New Roman" w:hAnsi="Times New Roman"/>
            <w:b w:val="false"/>
            <w:i w:val="false"/>
            <w:color w:val="000000"/>
            <w:sz w:val="22"/>
          </w:rPr>
          <w:t>542B.21(4)</w:t>
        </w:r>
      </w:hyperlink>
      <w:r>
        <w:rPr>
          <w:rFonts w:ascii="Times New Roman" w:hAnsi="Times New Roman"/>
          <w:b w:val="false"/>
          <w:i w:val="false"/>
          <w:color w:val="000000"/>
          <w:sz w:val="22"/>
        </w:rPr>
        <w:t xml:space="preserve"> that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1053.3(6)</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 which includes, but is not limited to, revocation, suspension, or other disciplinary action taken against a licensee by a licensing authority of this state or another state, territory, or country. “Disciplinary action” includes a voluntary surrender of a license to resolve a pending disciplinary investigation or proceeding. A stay by an appellate court does not negate this requirement; however, if such disciplinary action is overturned or reversed by a court of last resort, discipline by the board based solely on such action shall be vacated. A licensee shall notify the board of such disciplinary action within 30 days of the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1053.3(7)</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include the willful or repeated violation or disregard of any provision of Iowa Code chapter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1053.3(8)</w:t>
      </w:r>
      <w:r>
        <w:rPr>
          <w:rFonts w:ascii="Times New Roman" w:hAnsi="Times New Roman"/>
          <w:b w:val="false"/>
          <w:i w:val="false"/>
          <w:color w:val="000000"/>
          <w:sz w:val="22"/>
        </w:rPr>
        <w:t> </w:t>
      </w:r>
      <w:r>
        <w:rPr>
          <w:rFonts w:ascii="Times New Roman" w:hAnsi="Times New Roman"/>
          <w:b w:val="false"/>
          <w:i w:val="false"/>
          <w:color w:val="000000"/>
          <w:sz w:val="22"/>
        </w:rPr>
        <w:t>Conviction of felony includes the conviction of a felony under the laws of the United States, of any state or possession of the United States, or of any other country. The board will vacate any discipline based solely on a conviction, if that conviction is overturned or reversed by a court of last resort.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2B.21.pdf" Type="http://schemas.openxmlformats.org/officeDocument/2006/relationships/hyperlink" Id="rId8"/>
    <Relationship TargetMode="External" Target="https://www.legis.iowa.gov/docs/ico/chapter/354.pdf" Type="http://schemas.openxmlformats.org/officeDocument/2006/relationships/hyperlink" Id="rId9"/>
    <Relationship TargetMode="External" Target="https://www.legis.iowa.gov/docs/ico/chapter/355.pdf" Type="http://schemas.openxmlformats.org/officeDocument/2006/relationships/hyperlink" Id="rId10"/>
    <Relationship TargetMode="External" Target="https://www.legis.iowa.gov/docs/iac/chapter/481.1055.pdf" Type="http://schemas.openxmlformats.org/officeDocument/2006/relationships/hyperlink" Id="rId11"/>
    <Relationship TargetMode="External" Target="https://www.legis.iowa.gov/docs/iac/chapter/481.1056.pdf" Type="http://schemas.openxmlformats.org/officeDocument/2006/relationships/hyperlink" Id="rId12"/>
    <Relationship TargetMode="External" Target="https://www.legis.iowa.gov/docs/iac/rule/481.1052.3.pdf" Type="http://schemas.openxmlformats.org/officeDocument/2006/relationships/hyperlink" Id="rId13"/>
    <Relationship TargetMode="External" Target="https://www.legis.iowa.gov/docs/iac/rule/481.1052.3.pdf" Type="http://schemas.openxmlformats.org/officeDocument/2006/relationships/hyperlink" Id="rId14"/>
    <Relationship TargetMode="External" Target="https://www.legis.iowa.gov/docs/ico/chapter/542B.16.pdf" Type="http://schemas.openxmlformats.org/officeDocument/2006/relationships/hyperlink" Id="rId15"/>
    <Relationship TargetMode="External" Target="https://www.legis.iowa.gov/docs/iac/chapter/481.1050.pdf" Type="http://schemas.openxmlformats.org/officeDocument/2006/relationships/hyperlink" Id="rId16"/>
    <Relationship TargetMode="External" Target="https://www.legis.iowa.gov/docs/iac/chapter/481.1052.pdf" Type="http://schemas.openxmlformats.org/officeDocument/2006/relationships/hyperlink" Id="rId17"/>
    <Relationship TargetMode="External" Target="https://www.legis.iowa.gov/docs/ico/chapter/542B.27.pdf" Type="http://schemas.openxmlformats.org/officeDocument/2006/relationships/hyperlink" Id="rId18"/>
    <Relationship TargetMode="External" Target="https://www.legis.iowa.gov/docs/ico/chapter/272C.3.pdf" Type="http://schemas.openxmlformats.org/officeDocument/2006/relationships/hyperlink" Id="rId19"/>
    <Relationship TargetMode="External" Target="https://www.legis.iowa.gov/docs/ico/chapter/542B.21.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542B.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