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481—1053.2</w:t>
      </w:r>
      <w:r>
        <w:rPr>
          <w:rFonts w:ascii="Times New Roman" w:hAnsi="Times New Roman"/>
          <w:b/>
          <w:i w:val="false"/>
          <w:color w:val="000000"/>
          <w:sz w:val="22"/>
        </w:rPr>
        <w:t xml:space="preserve">(542B) </w:t>
      </w:r>
      <w:r>
        <w:rPr>
          <w:rFonts w:ascii="Times New Roman" w:hAnsi="Times New Roman"/>
          <w:b/>
          <w:i w:val="false"/>
          <w:color w:val="000000"/>
          <w:sz w:val="22"/>
        </w:rPr>
        <w:t xml:space="preserve">Ruling on the initial inquiry.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1053.2(1)</w:t>
      </w:r>
      <w:r>
        <w:rPr>
          <w:rFonts w:ascii="Times New Roman" w:hAnsi="Times New Roman"/>
          <w:b w:val="false"/>
          <w:i w:val="false"/>
          <w:color w:val="000000"/>
          <w:sz w:val="22"/>
        </w:rPr>
        <w:t> </w:t>
      </w:r>
      <w:r>
        <w:rPr>
          <w:rFonts w:ascii="Times New Roman" w:hAnsi="Times New Roman"/>
          <w:b w:val="false"/>
          <w:i/>
          <w:color w:val="000000"/>
          <w:sz w:val="22"/>
        </w:rPr>
        <w:t xml:space="preserve">Dismissal. </w:t>
      </w:r>
      <w:r>
        <w:rPr>
          <w:rFonts w:ascii="Times New Roman" w:hAnsi="Times New Roman"/>
          <w:b w:val="false"/>
          <w:i w:val="false"/>
          <w:color w:val="000000"/>
          <w:sz w:val="22"/>
        </w:rPr>
        <w:t>If a determination is made by the board that a complaint is without grounds or merit, the complaint will be dismissed. A letter of explanation concerning the decision of the board will be sent to the respondent and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1053.2(2)</w:t>
      </w:r>
      <w:r>
        <w:rPr>
          <w:rFonts w:ascii="Times New Roman" w:hAnsi="Times New Roman"/>
          <w:b w:val="false"/>
          <w:i w:val="false"/>
          <w:color w:val="000000"/>
          <w:sz w:val="22"/>
        </w:rPr>
        <w:t> </w:t>
      </w:r>
      <w:r>
        <w:rPr>
          <w:rFonts w:ascii="Times New Roman" w:hAnsi="Times New Roman"/>
          <w:b w:val="false"/>
          <w:i/>
          <w:color w:val="000000"/>
          <w:sz w:val="22"/>
        </w:rPr>
        <w:t xml:space="preserve">Requirement of further inquiry. </w:t>
      </w:r>
      <w:r>
        <w:rPr>
          <w:rFonts w:ascii="Times New Roman" w:hAnsi="Times New Roman"/>
          <w:b w:val="false"/>
          <w:i w:val="false"/>
          <w:color w:val="000000"/>
          <w:sz w:val="22"/>
        </w:rPr>
        <w:t>If determination is made by the board to order further inquiry, the complaint and initial recommendations will be provided to the investigator(s) along with a statement specifying the information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1053.2(3)</w:t>
      </w:r>
      <w:r>
        <w:rPr>
          <w:rFonts w:ascii="Times New Roman" w:hAnsi="Times New Roman"/>
          <w:b w:val="false"/>
          <w:i w:val="false"/>
          <w:color w:val="000000"/>
          <w:sz w:val="22"/>
        </w:rPr>
        <w:t> </w:t>
      </w:r>
      <w:r>
        <w:rPr>
          <w:rFonts w:ascii="Times New Roman" w:hAnsi="Times New Roman"/>
          <w:b w:val="false"/>
          <w:i/>
          <w:color w:val="000000"/>
          <w:sz w:val="22"/>
        </w:rPr>
        <w:t xml:space="preserve">Acceptance of the case. </w:t>
      </w:r>
      <w:r>
        <w:rPr>
          <w:rFonts w:ascii="Times New Roman" w:hAnsi="Times New Roman"/>
          <w:b w:val="false"/>
          <w:i w:val="false"/>
          <w:color w:val="000000"/>
          <w:sz w:val="22"/>
        </w:rPr>
        <w:t xml:space="preserve">If a determination is made by the board to initiate disciplinary action, the board may enter into an informal settlement or recommend formal disciplinary proceedings. The board’s rules regarding informal settlement are found in rule </w:t>
      </w:r>
      <w:hyperlink r:id="rId4">
        <w:r>
          <w:rPr>
            <w:rStyle w:val="Hyperlink"/>
            <w:rFonts w:ascii="Times New Roman" w:hAnsi="Times New Roman"/>
            <w:b w:val="false"/>
            <w:i w:val="false"/>
            <w:color w:val="000000"/>
            <w:sz w:val="22"/>
          </w:rPr>
          <w:t>481—506.35</w:t>
        </w:r>
      </w:hyperlink>
      <w:r>
        <w:rPr>
          <w:rFonts w:ascii="Times New Roman" w:hAnsi="Times New Roman"/>
          <w:b w:val="false"/>
          <w:i w:val="false"/>
          <w:color w:val="000000"/>
          <w:sz w:val="22"/>
        </w:rPr>
        <w:t>(17A,272C).</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542B.21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542B.22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06.35.pdf" Type="http://schemas.openxmlformats.org/officeDocument/2006/relationships/hyperlink" Id="rId4"/>
    <Relationship TargetMode="External" Target="https://www.legis.iowa.gov/docs/ico/chapter/542B.21.pdf" Type="http://schemas.openxmlformats.org/officeDocument/2006/relationships/hyperlink" Id="rId5"/>
    <Relationship TargetMode="External" Target="https://www.legis.iowa.gov/docs/ico/chapter/542B.22.pdf" Type="http://schemas.openxmlformats.org/officeDocument/2006/relationships/hyperlink" Id="rId6"/>
    <Relationship TargetMode="External" Target="https://www.legis.iowa.gov/docs/ico/chapter/272C.6.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