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481—1053.1</w:t>
      </w:r>
      <w:r>
        <w:rPr>
          <w:rFonts w:ascii="Times New Roman" w:hAnsi="Times New Roman"/>
          <w:b/>
          <w:i w:val="false"/>
          <w:color w:val="000000"/>
          <w:sz w:val="22"/>
        </w:rPr>
        <w:t xml:space="preserve">(542B)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1053.1(1)</w:t>
      </w:r>
      <w:r>
        <w:rPr>
          <w:rFonts w:ascii="Times New Roman" w:hAnsi="Times New Roman"/>
          <w:b w:val="false"/>
          <w:i w:val="false"/>
          <w:color w:val="000000"/>
          <w:sz w:val="22"/>
        </w:rPr>
        <w:t> </w:t>
      </w:r>
      <w:r>
        <w:rPr>
          <w:rFonts w:ascii="Times New Roman" w:hAnsi="Times New Roman"/>
          <w:b w:val="false"/>
          <w:i/>
          <w:color w:val="000000"/>
          <w:sz w:val="22"/>
        </w:rPr>
        <w:t xml:space="preserve">Complaints. </w:t>
      </w:r>
      <w:r>
        <w:rPr>
          <w:rFonts w:ascii="Times New Roman" w:hAnsi="Times New Roman"/>
          <w:b w:val="false"/>
          <w:i w:val="false"/>
          <w:color w:val="000000"/>
          <w:sz w:val="22"/>
        </w:rPr>
        <w:t>The board, upon receipt of a complaint or upon its own motion pursuant to other evidence received by the board, reviews and investigates alleged acts or omissions that reasonably constitute cause under applicable law or administrative rule for licensee discipline. Complaints may be submitted to the board office via the board’s website by members of the public, including clients, business organizations, nonprofit organizations, governmental bodies, licensees, or other individuals or entities with knowledge of possible violations of laws or rules by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w:t>
      </w:r>
      <w:r>
        <w:rPr>
          <w:rFonts w:ascii="Times New Roman" w:hAnsi="Times New Roman"/>
          <w:b w:val="false"/>
          <w:i w:val="false"/>
          <w:color w:val="000000"/>
          <w:sz w:val="22"/>
        </w:rPr>
        <w:t>A written complaint may be submitted on forms available from the board office and on the board’s website. The written complaint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individual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that the complainant believes demonstrate that the respondent has violated or is violating laws or rules enforced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Citation of the statutes and administrative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that have been taken by the complainant to resolve the dispute with the respondent prior to the filing of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1053.1(3)</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All written complaints received by the board are initially screened by the board’s administrator to determine whether the allegations of the complaint fall within the board’s investigatory jurisdiction and whether the facts presented, if true, would constitute a basis for disciplinary action against a licensee. Complaints that are clearly outside the board’s jurisdiction, which clearly do not allege facts upon which disciplinary action would be based, or that are frivolous will be referred by the board administrator to the board for closure at the next scheduled board meeting. All other complaints are referred by the board administrator to the board’s disciplinary committee for committee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1053.1(4)</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allegations. </w:t>
      </w:r>
      <w:r>
        <w:rPr>
          <w:rFonts w:ascii="Times New Roman" w:hAnsi="Times New Roman"/>
          <w:b w:val="false"/>
          <w:i w:val="false"/>
          <w:color w:val="000000"/>
          <w:sz w:val="22"/>
        </w:rPr>
        <w:t>In order to determine if probable cause exists for a hearing on the complaint, the board may cause an investigation to be made into the allegations of the complaint. It may refer the complaint to a peer review committee or investigator for investigation,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1053.1(5)</w:t>
      </w:r>
      <w:r>
        <w:rPr>
          <w:rFonts w:ascii="Times New Roman" w:hAnsi="Times New Roman"/>
          <w:b w:val="false"/>
          <w:i w:val="false"/>
          <w:color w:val="000000"/>
          <w:sz w:val="22"/>
        </w:rPr>
        <w:t> </w:t>
      </w:r>
      <w:r>
        <w:rPr>
          <w:rFonts w:ascii="Times New Roman" w:hAnsi="Times New Roman"/>
          <w:b w:val="false"/>
          <w:i/>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It is not necessary for the licensee to attend the informal discussion. By electing to attend, the licensee waives the right to seek disqualification, based upon personal investigation of a board member or staff, from participating in making a contested case decision or acting as a presiding officer in a later contested case proceeding. 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will be filed simultaneously with the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1053.1(6)</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Complainants are immune from civil liability under Iowa Code section </w:t>
      </w:r>
      <w:hyperlink r:id="rId4">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1053.1(7)</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board with factual information relative to the complaint. A complainant is not party to any disciplinary proceeding that the board may initiate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1053.1(8)</w:t>
      </w:r>
      <w:r>
        <w:rPr>
          <w:rFonts w:ascii="Times New Roman" w:hAnsi="Times New Roman"/>
          <w:b w:val="false"/>
          <w:i w:val="false"/>
          <w:color w:val="000000"/>
          <w:sz w:val="22"/>
        </w:rPr>
        <w:t> </w:t>
      </w:r>
      <w:r>
        <w:rPr>
          <w:rFonts w:ascii="Times New Roman" w:hAnsi="Times New Roman"/>
          <w:b w:val="false"/>
          <w:i/>
          <w:color w:val="000000"/>
          <w:sz w:val="22"/>
        </w:rPr>
        <w:t xml:space="preserve">Role of the board. </w:t>
      </w:r>
      <w:r>
        <w:rPr>
          <w:rFonts w:ascii="Times New Roman" w:hAnsi="Times New Roman"/>
          <w:b w:val="false"/>
          <w:i w:val="false"/>
          <w:color w:val="000000"/>
          <w:sz w:val="22"/>
        </w:rPr>
        <w:t>The board does not act as an arbiter of disputes between private parties, nor does the board initiate disciplinary proceedings to advance the private interest of any person or party. The role of the board in the disciplinary process is to protect the public by investigating complaints and initiating disciplinary proceedings in appropriate cases. The board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