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481—1052.4</w:t>
      </w:r>
      <w:r>
        <w:rPr>
          <w:rFonts w:ascii="Times New Roman" w:hAnsi="Times New Roman"/>
          <w:b/>
          <w:i w:val="false"/>
          <w:color w:val="000000"/>
          <w:sz w:val="22"/>
        </w:rPr>
        <w:t xml:space="preserve">(542B) </w:t>
      </w:r>
      <w:r>
        <w:rPr>
          <w:rFonts w:ascii="Times New Roman" w:hAnsi="Times New Roman"/>
          <w:b/>
          <w:i w:val="false"/>
          <w:color w:val="000000"/>
          <w:sz w:val="22"/>
        </w:rPr>
        <w:t xml:space="preserve">Standards of integrity. </w:t>
      </w:r>
      <w:r>
        <w:rPr>
          <w:rFonts w:ascii="Times New Roman" w:hAnsi="Times New Roman"/>
          <w:b w:val="false"/>
          <w:i w:val="false"/>
          <w:color w:val="000000"/>
          <w:sz w:val="22"/>
        </w:rPr>
        <w:t>Licensees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Answer all questions of a duly constituted investigative body of the state of Iowa concerning alleged violations by another person or firm.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Admit and accept their own errors and not distort or alter the facts to justify their own decisions when proven wrong.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Present information to the engineering and land surveying examining board in writing and cooperate with the board in furnishing further information or assistance required by the board, if a licensee knows or has reason to believe that another person or firm may be in violation of Iowa law or rules regarding ethics or conduct of professional engineering or professional land surveying practice.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Licensees cannot assist in the application of an individual they know is unqualified for licensure by reason of education, experience or character.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