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481—1052.3</w:t>
      </w:r>
      <w:r>
        <w:rPr>
          <w:rFonts w:ascii="Times New Roman" w:hAnsi="Times New Roman"/>
          <w:b/>
          <w:i w:val="false"/>
          <w:color w:val="000000"/>
          <w:sz w:val="22"/>
        </w:rPr>
        <w:t xml:space="preserve">(542B) </w:t>
      </w:r>
      <w:r>
        <w:rPr>
          <w:rFonts w:ascii="Times New Roman" w:hAnsi="Times New Roman"/>
          <w:b/>
          <w:i w:val="false"/>
          <w:color w:val="000000"/>
          <w:sz w:val="22"/>
        </w:rPr>
        <w:t xml:space="preserve">Reporting of acts or omissions. </w:t>
      </w:r>
      <w:r>
        <w:rPr>
          <w:rFonts w:ascii="Times New Roman" w:hAnsi="Times New Roman"/>
          <w:b w:val="false"/>
          <w:i w:val="false"/>
          <w:color w:val="000000"/>
          <w:sz w:val="22"/>
        </w:rPr>
        <w:t>Licensees shall report acts or omissions by a licensee that constitute negligence or carelessness. For the purposes of these rules, “negligence or carelessness” means demonstrating unreasonable lack of skill in the performance of engineering or land surveying services by failure of a licensee to maintain a reasonable standard of care in the licensee’s practice of engineering or land surveying. In the evaluation of reported acts or omissions, the board determines if the engineer or land surveyor has applied learning, skill and ability in a manner consistent with the standards of the professions ordinarily possessed and practiced in the same profession at the same time. Standards referred to in the immediately preceding sentence shall include any minimum standards adopted by this board and any standards adopted by recognized national or state engineering or land surveying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