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481—1051.8</w:t>
      </w:r>
      <w:r>
        <w:rPr>
          <w:rFonts w:ascii="Times New Roman" w:hAnsi="Times New Roman"/>
          <w:b/>
          <w:i w:val="false"/>
          <w:color w:val="000000"/>
          <w:sz w:val="22"/>
        </w:rPr>
        <w:t xml:space="preserve">(542B,272C) </w:t>
      </w:r>
      <w:r>
        <w:rPr>
          <w:rFonts w:ascii="Times New Roman" w:hAnsi="Times New Roman"/>
          <w:b/>
          <w:i w:val="false"/>
          <w:color w:val="000000"/>
          <w:sz w:val="22"/>
        </w:rPr>
        <w:t xml:space="preserve">Reports, records, and compliance review. </w:t>
      </w:r>
      <w:r>
        <w:rPr>
          <w:rFonts w:ascii="Times New Roman" w:hAnsi="Times New Roman"/>
          <w:b w:val="false"/>
          <w:i w:val="false"/>
          <w:color w:val="000000"/>
          <w:sz w:val="22"/>
        </w:rPr>
        <w:t>At the time of application for license renewal, each licensee reports, on a form provided by the board, the number of professional development hours achieved during the preceding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Maintaining records to be used to support professional development hours claimed is the responsibility of the licensee. It is recommended that each licensee keep a log showing the type of activity claimed, sponsoring organization, location, duration, instructor’s or speaker’s name, and PDH credits earned. The licensee is obligated to maintain documentation of reported PDHs for two years after the period for which the form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1051.8(2)</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w:t>
      </w:r>
      <w:r>
        <w:rPr>
          <w:rFonts w:ascii="Times New Roman" w:hAnsi="Times New Roman"/>
          <w:b w:val="false"/>
          <w:i w:val="false"/>
          <w:color w:val="000000"/>
          <w:sz w:val="22"/>
        </w:rPr>
        <w:t>The board may select licensees for review of compliance with continuing education on a random basis or upon receiving information regarding noncompliance and will review compliance with continuing education for reinstatement of lapsed or inactive licenses. Each licensed board member is audited for PDH compliance for a biennium that is within each member’s respective three-year appointment term. For each PDH claimed, licensees chosen for compliance review will furnish: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attendance. Attendance verification records in the form of completion certificates, or other documents supporting evidence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the hours claimed;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about the course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1051.8(3)</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sanctions. </w:t>
      </w:r>
      <w:r>
        <w:rPr>
          <w:rFonts w:ascii="Times New Roman" w:hAnsi="Times New Roman"/>
          <w:b w:val="false"/>
          <w:i w:val="false"/>
          <w:color w:val="000000"/>
          <w:sz w:val="22"/>
        </w:rPr>
        <w:t xml:space="preserve">Any discrepancy between the number of PDHs reported and the number of PDHs actually supported by documentation may result in a disciplinary review. If, after the disciplinary review, the board disallows any PDH, or the licensee has failed to complete the required PDHs, the licensee has 60 days from board notice to either provide further evidence of having completed the PDHs disallowed or remedy the discrepancy by completing the required number of PDHs (provided that such PDHs are not used again for the next renewal). Extension of time may be granted on an individual basis if requested by the licensee within 30 days of notification by the board. If the licensee fails to comply with the requirements of this subrule, the licensee may be subject to disciplinary action. If the board finds, after proper notice and hearing, that the licensee willfully disregarded these requirements or falsified documentation of required PDHs, the licensee may be subject to disciplinary action as further identified in 481—paragraphs </w:t>
      </w:r>
      <w:hyperlink r:id="rId4">
        <w:r>
          <w:rPr>
            <w:rStyle w:val="Hyperlink"/>
            <w:rFonts w:ascii="Times New Roman" w:hAnsi="Times New Roman"/>
            <w:b w:val="false"/>
            <w:i w:val="false"/>
            <w:color w:val="000000"/>
            <w:sz w:val="22"/>
          </w:rPr>
          <w:t>1053.3(1)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1053.3(3)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1051.8(4)</w:t>
      </w:r>
      <w:r>
        <w:rPr>
          <w:rFonts w:ascii="Times New Roman" w:hAnsi="Times New Roman"/>
          <w:b w:val="false"/>
          <w:i w:val="false"/>
          <w:color w:val="000000"/>
          <w:sz w:val="22"/>
        </w:rPr>
        <w:t> </w:t>
      </w:r>
      <w:r>
        <w:rPr>
          <w:rFonts w:ascii="Times New Roman" w:hAnsi="Times New Roman"/>
          <w:b w:val="false"/>
          <w:i/>
          <w:color w:val="000000"/>
          <w:sz w:val="22"/>
        </w:rPr>
        <w:t xml:space="preserve">Out-of-state residents. </w:t>
      </w:r>
      <w:r>
        <w:rPr>
          <w:rFonts w:ascii="Times New Roman" w:hAnsi="Times New Roman"/>
          <w:b w:val="false"/>
          <w:i w:val="false"/>
          <w:color w:val="000000"/>
          <w:sz w:val="22"/>
        </w:rPr>
        <w:t xml:space="preserve">A person licensed to practice engineering or land surveying or both in Iowa shall be deemed to have complied with the continuing education requirement of this state during the periods that the person is a resident of another state or district that has a continuing education requirement for engineers or land surveyors and the individual meets all requirements of that state or district for practice therein. However, if selected for compliance review, such individuals must provide documentation as specified in subrule </w:t>
      </w:r>
      <w:hyperlink r:id="rId6">
        <w:r>
          <w:rPr>
            <w:rStyle w:val="Hyperlink"/>
            <w:rFonts w:ascii="Times New Roman" w:hAnsi="Times New Roman"/>
            <w:b w:val="false"/>
            <w:i w:val="false"/>
            <w:color w:val="000000"/>
            <w:sz w:val="22"/>
          </w:rPr>
          <w:t>1051.8(2)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53.3.pdf" Type="http://schemas.openxmlformats.org/officeDocument/2006/relationships/hyperlink" Id="rId4"/>
    <Relationship TargetMode="External" Target="https://www.legis.iowa.gov/docs/iac/rule/481.1053.3.pdf" Type="http://schemas.openxmlformats.org/officeDocument/2006/relationships/hyperlink" Id="rId5"/>
    <Relationship TargetMode="External" Target="https://www.legis.iowa.gov/docs/iac/rule/481.1051.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