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Hardships or extenuating circumstances.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a written request to the board, the board may, in individual cases involving hardship or extenuating circumstances, grant waivers of the continuing education requirements for a period of time not to exceed one year.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