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481—1051.5</w:t>
      </w:r>
      <w:r>
        <w:rPr>
          <w:rFonts w:ascii="Times New Roman" w:hAnsi="Times New Roman"/>
          <w:b/>
          <w:i w:val="false"/>
          <w:color w:val="000000"/>
          <w:sz w:val="22"/>
        </w:rPr>
        <w:t xml:space="preserve">(542B,272C) </w:t>
      </w:r>
      <w:r>
        <w:rPr>
          <w:rFonts w:ascii="Times New Roman" w:hAnsi="Times New Roman"/>
          <w:b/>
          <w:i w:val="false"/>
          <w:color w:val="000000"/>
          <w:sz w:val="22"/>
        </w:rPr>
        <w:t xml:space="preserve">Biennial requirement. </w:t>
      </w:r>
      <w:r>
        <w:rPr>
          <w:rFonts w:ascii="Times New Roman" w:hAnsi="Times New Roman"/>
          <w:b w:val="false"/>
          <w:i w:val="false"/>
          <w:color w:val="000000"/>
          <w:sz w:val="22"/>
        </w:rPr>
        <w:t>The biennial requirement may only be satisfied during the biennium prior to licensure renewal except for the carryover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1051.5(1)</w:t>
      </w:r>
      <w:r>
        <w:rPr>
          <w:rFonts w:ascii="Times New Roman" w:hAnsi="Times New Roman"/>
          <w:b w:val="false"/>
          <w:i w:val="false"/>
          <w:color w:val="000000"/>
          <w:sz w:val="22"/>
        </w:rPr>
        <w:t> </w:t>
      </w:r>
      <w:r>
        <w:rPr>
          <w:rFonts w:ascii="Times New Roman" w:hAnsi="Times New Roman"/>
          <w:b w:val="false"/>
          <w:i w:val="false"/>
          <w:color w:val="000000"/>
          <w:sz w:val="22"/>
        </w:rPr>
        <w:t>Completion of 30 professional development hours, including at least 2 professional development hours in the area of professional ethics, satisfies the continuing education necessary for biennial licensure renewal in engineering or land surveying. Completion of 40 professional development hours, including 20 professional development hours in engineering and 20 professional development hours in land surveying and at least 4 professional development hours in the area of professional ethics, satisfies the continuing education necessary for biennial licensure renewal for individuals actively licensed in both engineering and land surveying. Up to 15 professional development hours may be carried forward only into the next biennium. For individuals actively licensed in both engineering and land surveying, up to 10 professional development hours for each profession may be carried forward only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1051.5(2)</w:t>
      </w:r>
      <w:r>
        <w:rPr>
          <w:rFonts w:ascii="Times New Roman" w:hAnsi="Times New Roman"/>
          <w:b w:val="false"/>
          <w:i w:val="false"/>
          <w:color w:val="000000"/>
          <w:sz w:val="22"/>
        </w:rPr>
        <w:t> </w:t>
      </w:r>
      <w:r>
        <w:rPr>
          <w:rFonts w:ascii="Times New Roman" w:hAnsi="Times New Roman"/>
          <w:b w:val="false"/>
          <w:i w:val="false"/>
          <w:color w:val="000000"/>
          <w:sz w:val="22"/>
        </w:rPr>
        <w:t>Inactive licensees are exempt from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1051.5(3)</w:t>
      </w:r>
      <w:r>
        <w:rPr>
          <w:rFonts w:ascii="Times New Roman" w:hAnsi="Times New Roman"/>
          <w:b w:val="false"/>
          <w:i w:val="false"/>
          <w:color w:val="000000"/>
          <w:sz w:val="22"/>
        </w:rPr>
        <w:t> </w:t>
      </w:r>
      <w:r>
        <w:rPr>
          <w:rFonts w:ascii="Times New Roman" w:hAnsi="Times New Roman"/>
          <w:b w:val="false"/>
          <w:i w:val="false"/>
          <w:color w:val="000000"/>
          <w:sz w:val="22"/>
        </w:rPr>
        <w:t>A licensee who is active in one profession and inactive in another is obligated to meet the continuing education requirements for licensure in the profession in which active licensure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1051.5(4)</w:t>
      </w:r>
      <w:r>
        <w:rPr>
          <w:rFonts w:ascii="Times New Roman" w:hAnsi="Times New Roman"/>
          <w:b w:val="false"/>
          <w:i w:val="false"/>
          <w:color w:val="000000"/>
          <w:sz w:val="22"/>
        </w:rPr>
        <w:t> </w:t>
      </w:r>
      <w:r>
        <w:rPr>
          <w:rFonts w:ascii="Times New Roman" w:hAnsi="Times New Roman"/>
          <w:b w:val="false"/>
          <w:i w:val="false"/>
          <w:color w:val="000000"/>
          <w:sz w:val="22"/>
        </w:rPr>
        <w:t>A new licensee is obligated to satisfy one-half of the biennial continuing education requirement at the first renewal following initial licensure. Professional engineers and professional land surveyors licensed by comity are not new licensees and are not eligible for the one-half continuing education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