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481—1051.4</w:t>
      </w:r>
      <w:r>
        <w:rPr>
          <w:rFonts w:ascii="Times New Roman" w:hAnsi="Times New Roman"/>
          <w:b/>
          <w:i w:val="false"/>
          <w:color w:val="000000"/>
          <w:sz w:val="22"/>
        </w:rPr>
        <w:t xml:space="preserve">(542B,272C) </w:t>
      </w:r>
      <w:r>
        <w:rPr>
          <w:rFonts w:ascii="Times New Roman" w:hAnsi="Times New Roman"/>
          <w:b/>
          <w:i w:val="false"/>
          <w:color w:val="000000"/>
          <w:sz w:val="22"/>
        </w:rPr>
        <w:t xml:space="preserve">Professional development guidelines. </w:t>
      </w:r>
      <w:r>
        <w:rPr>
          <w:rFonts w:ascii="Times New Roman" w:hAnsi="Times New Roman"/>
          <w:b w:val="false"/>
          <w:i w:val="false"/>
          <w:color w:val="000000"/>
          <w:sz w:val="22"/>
        </w:rPr>
        <w:t>Continuing education activities that satisfy the professional development criteria are those that relate to engineering or land surveying practice or management. It is recognized that an engineer’s specialized skills must have as their foundation a fundamental knowledge of chemistry, physics, mathematics, graphics, computations, communication, and humanities and social sciences. However, continuing education in the fundamentals alone will not be sufficient to maintain, improve, or expand engineering skills and knowledge. For that reason, licensees will be limited in their use of fundamental courses in proportion to ABET criteria for accreditation of engineering curricula. Continuing education activities are classified as:</w:t>
      </w:r>
    </w:p>
    <w:p>
      <w:pPr>
        <w:spacing w:before="0" w:after="0"/>
        <w:ind w:left="120"/>
        <w:jc w:val="both"/>
      </w:pPr>
      <w:r>
        <w:rPr>
          <w:rFonts w:ascii="Times New Roman" w:hAnsi="Times New Roman"/>
          <w:b/>
          <w:i w:val="false"/>
          <w:color w:val="000000"/>
          <w:sz w:val="22"/>
        </w:rPr>
        <w:t>1051.4(1)</w:t>
      </w:r>
      <w:r>
        <w:rPr>
          <w:rFonts w:ascii="Times New Roman" w:hAnsi="Times New Roman"/>
          <w:b w:val="false"/>
          <w:i w:val="false"/>
          <w:color w:val="000000"/>
          <w:sz w:val="22"/>
        </w:rPr>
        <w:t> </w:t>
      </w:r>
      <w:r>
        <w:rPr>
          <w:rFonts w:ascii="Times New Roman" w:hAnsi="Times New Roman"/>
          <w:b w:val="false"/>
          <w:i/>
          <w:color w:val="000000"/>
          <w:sz w:val="22"/>
        </w:rPr>
        <w:t xml:space="preserve">Group 1 activities. </w:t>
      </w:r>
      <w:r>
        <w:rPr>
          <w:rFonts w:ascii="Times New Roman" w:hAnsi="Times New Roman"/>
          <w:b w:val="false"/>
          <w:i w:val="false"/>
          <w:color w:val="000000"/>
          <w:sz w:val="22"/>
        </w:rPr>
        <w:t>Group 1 activities are intended to maintain, improve, or expand skills and knowledge obtained prior to initial licensure. The following chart illustrates the maximum PDH allowable per renewal period for Group 1 activities: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7851"/>
        <w:gridCol w:w="1899"/>
      </w:tblGrid>
      <w:tr>
        <w:trPr>
          <w:trHeight w:val="510" w:hRule="atLeast"/>
        </w:trPr>
        <w:tc>
          <w:tcPr>
            <w:tcW w:w="785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Type of course/activity</w:t>
            </w:r>
          </w:p>
        </w:tc>
        <w:tc>
          <w:tcPr>
            <w:tcW w:w="1899"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Number of PDH allowed per renewal period</w:t>
            </w:r>
          </w:p>
        </w:tc>
      </w:tr>
      <w:tr>
        <w:trPr>
          <w:trHeight w:val="510" w:hRule="atLeast"/>
        </w:trPr>
        <w:tc>
          <w:tcPr>
            <w:tcW w:w="785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Mathematics and basic sciences</w:t>
            </w:r>
          </w:p>
          <w:p>
            <w:pPr>
              <w:spacing w:before="0" w:after="0" w:line="264"/>
              <w:ind w:left="160"/>
              <w:jc w:val="left"/>
            </w:pPr>
            <w:r>
              <w:rPr>
                <w:rFonts w:ascii="Times New Roman" w:hAnsi="Times New Roman"/>
                <w:b w:val="false"/>
                <w:i w:val="false"/>
                <w:color w:val="000000"/>
                <w:sz w:val="14"/>
              </w:rPr>
              <w:t>Math beyond Trigonometry</w:t>
            </w:r>
          </w:p>
          <w:p>
            <w:pPr>
              <w:spacing w:before="0" w:after="0" w:line="264"/>
              <w:ind w:left="160"/>
              <w:jc w:val="left"/>
            </w:pPr>
            <w:r>
              <w:rPr>
                <w:rFonts w:ascii="Times New Roman" w:hAnsi="Times New Roman"/>
                <w:b w:val="false"/>
                <w:i w:val="false"/>
                <w:color w:val="000000"/>
                <w:sz w:val="14"/>
              </w:rPr>
              <w:t>Basic sciences: Chemistry, Physics, Life sciences, Earth sciences</w:t>
            </w:r>
          </w:p>
        </w:tc>
        <w:tc>
          <w:tcPr>
            <w:tcW w:w="1899"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 PDH</w:t>
            </w:r>
          </w:p>
        </w:tc>
      </w:tr>
      <w:tr>
        <w:trPr>
          <w:trHeight w:val="660" w:hRule="atLeast"/>
        </w:trPr>
        <w:tc>
          <w:tcPr>
            <w:tcW w:w="785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Engineering sciences</w:t>
            </w:r>
          </w:p>
          <w:p>
            <w:pPr>
              <w:spacing w:before="0" w:after="0" w:line="264"/>
              <w:ind w:left="160"/>
              <w:jc w:val="left"/>
            </w:pPr>
            <w:r>
              <w:rPr>
                <w:rFonts w:ascii="Times New Roman" w:hAnsi="Times New Roman"/>
                <w:b w:val="false"/>
                <w:i w:val="false"/>
                <w:color w:val="000000"/>
                <w:sz w:val="14"/>
              </w:rPr>
              <w:t>Mechanics, Thermodynamics, Electrical and electrical circuits, Materials science, *Computer science</w:t>
            </w:r>
          </w:p>
          <w:p>
            <w:pPr>
              <w:spacing w:before="0" w:after="0" w:line="264"/>
              <w:ind w:left="160"/>
              <w:jc w:val="left"/>
            </w:pPr>
            <w:r>
              <w:rPr>
                <w:rFonts w:ascii="Times New Roman" w:hAnsi="Times New Roman"/>
                <w:b w:val="false"/>
                <w:i w:val="false"/>
                <w:color w:val="000000"/>
                <w:sz w:val="14"/>
              </w:rPr>
              <w:t>*Courses in computer science will generally be considered a part of the Engineering Sciences category in the ABET criterion and, therefore, limited to a maximum of 10 PDH per renewal period.</w:t>
            </w:r>
          </w:p>
        </w:tc>
        <w:tc>
          <w:tcPr>
            <w:tcW w:w="1899"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 PDH</w:t>
            </w:r>
          </w:p>
        </w:tc>
      </w:tr>
      <w:tr>
        <w:trPr>
          <w:trHeight w:val="510" w:hRule="atLeast"/>
        </w:trPr>
        <w:tc>
          <w:tcPr>
            <w:tcW w:w="7851"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Humanities and social sciences</w:t>
            </w:r>
          </w:p>
          <w:p>
            <w:pPr>
              <w:spacing w:before="0" w:after="0" w:line="264"/>
              <w:ind w:left="160"/>
              <w:jc w:val="left"/>
            </w:pPr>
            <w:r>
              <w:rPr>
                <w:rFonts w:ascii="Times New Roman" w:hAnsi="Times New Roman"/>
                <w:b w:val="false"/>
                <w:i w:val="false"/>
                <w:color w:val="000000"/>
                <w:sz w:val="14"/>
              </w:rPr>
              <w:t>Philosophy, Religion, History, Literature, Fine arts, Sociology, Psychology, Political science, Anthropology, Economics, Foreign languages, Professional ethics, Social responsibility</w:t>
            </w:r>
          </w:p>
        </w:tc>
        <w:tc>
          <w:tcPr>
            <w:tcW w:w="1899"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 PDH</w:t>
            </w:r>
          </w:p>
        </w:tc>
      </w:tr>
      <w:tr>
        <w:trPr>
          <w:trHeight w:val="1125" w:hRule="atLeast"/>
        </w:trPr>
        <w:tc>
          <w:tcPr>
            <w:tcW w:w="7851" w:type="dxa"/>
            <w:tcBorders>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Engineering-related courses</w:t>
            </w:r>
          </w:p>
          <w:p>
            <w:pPr>
              <w:spacing w:before="0" w:after="0" w:line="264"/>
              <w:ind w:left="160"/>
              <w:jc w:val="left"/>
            </w:pPr>
            <w:r>
              <w:rPr>
                <w:rFonts w:ascii="Times New Roman" w:hAnsi="Times New Roman"/>
                <w:b w:val="false"/>
                <w:i w:val="false"/>
                <w:color w:val="000000"/>
                <w:sz w:val="14"/>
              </w:rPr>
              <w:t>Accounting, Industrial management, Finance, Personnel administration, Engineering economy, English, Speech, *Computer applications</w:t>
            </w:r>
          </w:p>
          <w:p>
            <w:pPr>
              <w:spacing w:before="0" w:after="0" w:line="264"/>
              <w:ind w:left="160"/>
              <w:jc w:val="left"/>
            </w:pPr>
            <w:r>
              <w:rPr>
                <w:rFonts w:ascii="Times New Roman" w:hAnsi="Times New Roman"/>
                <w:b w:val="false"/>
                <w:i w:val="false"/>
                <w:color w:val="000000"/>
                <w:sz w:val="14"/>
              </w:rPr>
              <w:t xml:space="preserve"> *The computer is considered a tool available to engineers and land surveyors. Courses related to computer drafting and general computer applications are generally not applicable to either Group 1 or Group 2 activities. Computer courses that relate to engineering or land surveying design applications, such as structural design/analysis software, are considered acceptable. </w:t>
            </w:r>
          </w:p>
        </w:tc>
        <w:tc>
          <w:tcPr>
            <w:tcW w:w="1899"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 PDH</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1051.4(2)</w:t>
      </w:r>
      <w:r>
        <w:rPr>
          <w:rFonts w:ascii="Times New Roman" w:hAnsi="Times New Roman"/>
          <w:b w:val="false"/>
          <w:i w:val="false"/>
          <w:color w:val="000000"/>
          <w:sz w:val="22"/>
        </w:rPr>
        <w:t> </w:t>
      </w:r>
      <w:r>
        <w:rPr>
          <w:rFonts w:ascii="Times New Roman" w:hAnsi="Times New Roman"/>
          <w:b w:val="false"/>
          <w:i/>
          <w:color w:val="000000"/>
          <w:sz w:val="22"/>
        </w:rPr>
        <w:t xml:space="preserve">Group 2 activities. </w:t>
      </w:r>
      <w:r>
        <w:rPr>
          <w:rFonts w:ascii="Times New Roman" w:hAnsi="Times New Roman"/>
          <w:b w:val="false"/>
          <w:i w:val="false"/>
          <w:color w:val="000000"/>
          <w:sz w:val="22"/>
        </w:rPr>
        <w:t>Group 2 activities are intended to develop new and relevant skills and knowledge. Credit for participation in activities in the group is unlimited, subject to maximum carryover. Typical areas include postgraduate level engineering science or design, new technology, environmental regulation and courses in management of engineering or land surveying activity (regular work duties do not qualify).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1051.4(3)</w:t>
      </w: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 xml:space="preserve">To be readily acceptable by the board, independent study as defined in rule </w:t>
      </w:r>
      <w:hyperlink r:id="rId4">
        <w:r>
          <w:rPr>
            <w:rStyle w:val="Hyperlink"/>
            <w:rFonts w:ascii="Times New Roman" w:hAnsi="Times New Roman"/>
            <w:b w:val="false"/>
            <w:i w:val="false"/>
            <w:color w:val="000000"/>
            <w:sz w:val="22"/>
          </w:rPr>
          <w:t>481—1051.2</w:t>
        </w:r>
      </w:hyperlink>
      <w:r>
        <w:rPr>
          <w:rFonts w:ascii="Times New Roman" w:hAnsi="Times New Roman"/>
          <w:b w:val="false"/>
          <w:i w:val="false"/>
          <w:color w:val="000000"/>
          <w:sz w:val="22"/>
        </w:rPr>
        <w:t>(542B,272C)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written evaluation process is completed by the independent study provider;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certificate of satisfactory completion is issued by the provider;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evaluation assessment is issued to the licensee by the provider;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supporting such independent studies is maintained by the licensee and provided to the board as required by subrule </w:t>
      </w:r>
      <w:hyperlink r:id="rId5">
        <w:r>
          <w:rPr>
            <w:rStyle w:val="Hyperlink"/>
            <w:rFonts w:ascii="Times New Roman" w:hAnsi="Times New Roman"/>
            <w:b w:val="false"/>
            <w:i w:val="false"/>
            <w:color w:val="000000"/>
            <w:sz w:val="22"/>
          </w:rPr>
          <w:t>1051.8(2)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 maximum of ten professional development hours of independent study activity will be allowed per biennium per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1051.4(4)</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Types of continuing education activities that will be excluded from allowable continuing education are those in which it is not evident that the activity relates directly to the licensee’s practice of professional engineering or land surveying or the management of the business concerns of the licensee’s practice, or that do not comply with the board’s administrative rules. Examples of activities that do not qualify as continuing education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Regular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Toastmasters club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 club meetings or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Personal estate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Banquet speeches unrelated to engineering;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Professional society business meeting portions of technical seminars;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Financial planning/investment seminars;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Foreign travel not related to engineering study abroad;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Personal self-improvement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Real estate licensing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Stress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Trade shows;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Peer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Accreditation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Independent study or self-study that does not meet the requirements of subrule </w:t>
      </w:r>
      <w:hyperlink r:id="rId6">
        <w:r>
          <w:rPr>
            <w:rStyle w:val="Hyperlink"/>
            <w:rFonts w:ascii="Times New Roman" w:hAnsi="Times New Roman"/>
            <w:b w:val="false"/>
            <w:i w:val="false"/>
            <w:color w:val="000000"/>
            <w:sz w:val="22"/>
          </w:rPr>
          <w:t>1051.4(3)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Basic CAD and fundamental computer application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Undergraduate engineering seminars.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1051.2.pdf" Type="http://schemas.openxmlformats.org/officeDocument/2006/relationships/hyperlink" Id="rId4"/>
    <Relationship TargetMode="External" Target="https://www.legis.iowa.gov/docs/iac/rule/481.1051.8.pdf" Type="http://schemas.openxmlformats.org/officeDocument/2006/relationships/hyperlink" Id="rId5"/>
    <Relationship TargetMode="External" Target="https://www.legis.iowa.gov/docs/iac/rule/481.1051.4.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