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481—1051.3</w:t>
      </w:r>
      <w:r>
        <w:rPr>
          <w:rFonts w:ascii="Times New Roman" w:hAnsi="Times New Roman"/>
          <w:b/>
          <w:i w:val="false"/>
          <w:color w:val="000000"/>
          <w:sz w:val="22"/>
        </w:rPr>
        <w:t xml:space="preserve">(542B,272C) </w:t>
      </w:r>
      <w:r>
        <w:rPr>
          <w:rFonts w:ascii="Times New Roman" w:hAnsi="Times New Roman"/>
          <w:b/>
          <w:i w:val="false"/>
          <w:color w:val="000000"/>
          <w:sz w:val="22"/>
        </w:rPr>
        <w:t xml:space="preserve">Professional development hours.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1051.3(1)</w:t>
      </w:r>
      <w:r>
        <w:rPr>
          <w:rFonts w:ascii="Times New Roman" w:hAnsi="Times New Roman"/>
          <w:b w:val="false"/>
          <w:i w:val="false"/>
          <w:color w:val="000000"/>
          <w:sz w:val="22"/>
        </w:rPr>
        <w:t> </w:t>
      </w:r>
      <w:r>
        <w:rPr>
          <w:rFonts w:ascii="Times New Roman" w:hAnsi="Times New Roman"/>
          <w:b w:val="false"/>
          <w:i/>
          <w:color w:val="000000"/>
          <w:sz w:val="22"/>
        </w:rPr>
        <w:t xml:space="preserve">Allowable activities. </w:t>
      </w:r>
      <w:r>
        <w:rPr>
          <w:rFonts w:ascii="Times New Roman" w:hAnsi="Times New Roman"/>
          <w:b w:val="false"/>
          <w:i w:val="false"/>
          <w:color w:val="000000"/>
          <w:sz w:val="22"/>
        </w:rPr>
        <w:t>Licensees may earn professional development hours by participating in a variety of activities. The following is a list of allowable activities and is not all-inclusive: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Successful completion of college courses;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Successful completion of continuing education courses;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Successful completion of correspondence, televised, videotaped, and other short courses or tutorials;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Successful completion of courses online via the Internet;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Active participation in seminars, in-house courses, workshops, technical committees of professional engineering organizations, and professional conventions;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Teaching or instructing in the activities set forth above if such teaching or instruction is outside of the licensee’s regular employment duties and if the licensee can document that such teaching activity or instruction was newly developed and presented for the first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Authoring published papers, articles or books;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Obtaining patents;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Attendance at online video courses;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Participation on an NCEES examination development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Attendance at engineering college graduate research seminars.</w:t>
      </w:r>
    </w:p>
    <w:p>
      <w:pPr>
        <w:spacing w:before="0" w:after="0"/>
        <w:ind w:left="120"/>
        <w:jc w:val="both"/>
      </w:pPr>
      <w:r>
        <w:rPr>
          <w:rFonts w:ascii="Times New Roman" w:hAnsi="Times New Roman"/>
          <w:b w:val="false"/>
          <w:i w:val="false"/>
          <w:color w:val="000000"/>
          <w:sz w:val="22"/>
        </w:rPr>
        <w:t>All of the allowable activities listed above must adhere to this chapter to be accepted by the board.</w:t>
      </w:r>
    </w:p>
    <w:p>
      <w:pPr>
        <w:spacing w:before="0" w:after="0"/>
        <w:ind w:left="120"/>
        <w:jc w:val="both"/>
      </w:pPr>
      <w:r>
        <w:rPr>
          <w:rFonts w:ascii="Times New Roman" w:hAnsi="Times New Roman"/>
          <w:b/>
          <w:i w:val="false"/>
          <w:color w:val="000000"/>
          <w:sz w:val="22"/>
        </w:rPr>
        <w:t>1051.3(2)</w:t>
      </w:r>
      <w:r>
        <w:rPr>
          <w:rFonts w:ascii="Times New Roman" w:hAnsi="Times New Roman"/>
          <w:b w:val="false"/>
          <w:i w:val="false"/>
          <w:color w:val="000000"/>
          <w:sz w:val="22"/>
        </w:rPr>
        <w:t> </w:t>
      </w:r>
      <w:r>
        <w:rPr>
          <w:rFonts w:ascii="Times New Roman" w:hAnsi="Times New Roman"/>
          <w:b w:val="false"/>
          <w:i/>
          <w:color w:val="000000"/>
          <w:sz w:val="22"/>
        </w:rPr>
        <w:t xml:space="preserve">PDH conversion. </w:t>
      </w:r>
      <w:r>
        <w:rPr>
          <w:rFonts w:ascii="Times New Roman" w:hAnsi="Times New Roman"/>
          <w:b w:val="false"/>
          <w:i w:val="false"/>
          <w:color w:val="000000"/>
          <w:sz w:val="22"/>
        </w:rPr>
        <w:t>The following chart illustrates the conversion from other units to PDH:</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7851"/>
        <w:gridCol w:w="1899"/>
      </w:tblGrid>
      <w:tr>
        <w:trPr>
          <w:trHeight w:val="195" w:hRule="atLeast"/>
        </w:trPr>
        <w:tc>
          <w:tcPr>
            <w:tcW w:w="785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ACTIVITY</w:t>
            </w:r>
          </w:p>
        </w:tc>
        <w:tc>
          <w:tcPr>
            <w:tcW w:w="1899"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PDH</w:t>
            </w:r>
          </w:p>
        </w:tc>
      </w:tr>
      <w:tr>
        <w:trPr>
          <w:trHeight w:val="510" w:hRule="atLeast"/>
        </w:trPr>
        <w:tc>
          <w:tcPr>
            <w:tcW w:w="7851"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1 College or unit semester hour.</w:t>
            </w:r>
          </w:p>
          <w:p>
            <w:pPr>
              <w:spacing w:before="0" w:after="0" w:line="264"/>
              <w:ind w:left="160"/>
              <w:jc w:val="left"/>
            </w:pPr>
            <w:r>
              <w:rPr>
                <w:rFonts w:ascii="Times New Roman" w:hAnsi="Times New Roman"/>
                <w:b w:val="false"/>
                <w:i w:val="false"/>
                <w:color w:val="000000"/>
                <w:sz w:val="14"/>
              </w:rPr>
              <w:t>Credit for qualifying college or community college courses will be based upon course credit established by the college.</w:t>
            </w:r>
          </w:p>
        </w:tc>
        <w:tc>
          <w:tcPr>
            <w:tcW w:w="1899" w:type="dxa"/>
            <w:tcBorders>
              <w:bottom w:val="single" w:color="000000" w:sz="8"/>
            </w:tcBorders>
            <w:tcMar>
              <w:top w:w="30" w:type="dxa"/>
              <w:left w:w="30" w:type="dxa"/>
              <w:bottom w:w="15" w:type="dxa"/>
              <w:right w:w="30" w:type="dxa"/>
            </w:tcMar>
            <w:vAlign w:val="top"/>
          </w:tcPr>
          <w:p>
            <w:pPr>
              <w:spacing w:before="0" w:after="0" w:line="264"/>
              <w:ind w:left="160"/>
              <w:jc w:val="center"/>
            </w:pPr>
            <w:r>
              <w:rPr>
                <w:rFonts w:ascii="Times New Roman" w:hAnsi="Times New Roman"/>
                <w:b w:val="false"/>
                <w:i w:val="false"/>
                <w:color w:val="000000"/>
                <w:sz w:val="14"/>
              </w:rPr>
              <w:t>45 PDH</w:t>
            </w:r>
          </w:p>
          <w:p>
            <w:pPr>
              <w:spacing w:before="0" w:after="0" w:line="264"/>
              <w:ind w:left="160"/>
              <w:jc w:val="center"/>
            </w:pPr>
            <w:r>
              <w:rPr>
                <w:rFonts w:ascii="Times New Roman" w:hAnsi="Times New Roman"/>
                <w:b w:val="false"/>
                <w:i w:val="false"/>
                <w:color w:val="000000"/>
                <w:sz w:val="14"/>
              </w:rPr>
              <w:t>per semester hour</w:t>
            </w:r>
          </w:p>
        </w:tc>
      </w:tr>
      <w:tr>
        <w:trPr>
          <w:trHeight w:val="510" w:hRule="atLeast"/>
        </w:trPr>
        <w:tc>
          <w:tcPr>
            <w:tcW w:w="7851"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1 College or unit quarter hour.</w:t>
            </w:r>
          </w:p>
          <w:p>
            <w:pPr>
              <w:spacing w:before="0" w:after="0" w:line="264"/>
              <w:ind w:left="160"/>
              <w:jc w:val="left"/>
            </w:pPr>
            <w:r>
              <w:rPr>
                <w:rFonts w:ascii="Times New Roman" w:hAnsi="Times New Roman"/>
                <w:b w:val="false"/>
                <w:i w:val="false"/>
                <w:color w:val="000000"/>
                <w:sz w:val="14"/>
              </w:rPr>
              <w:t>Credit for qualifying college or community college courses will be based upon course credit established by the college.</w:t>
            </w:r>
          </w:p>
        </w:tc>
        <w:tc>
          <w:tcPr>
            <w:tcW w:w="1899" w:type="dxa"/>
            <w:tcBorders>
              <w:bottom w:val="single" w:color="000000" w:sz="8"/>
            </w:tcBorders>
            <w:tcMar>
              <w:top w:w="30" w:type="dxa"/>
              <w:left w:w="30" w:type="dxa"/>
              <w:bottom w:w="15" w:type="dxa"/>
              <w:right w:w="30" w:type="dxa"/>
            </w:tcMar>
            <w:vAlign w:val="top"/>
          </w:tcPr>
          <w:p>
            <w:pPr>
              <w:spacing w:before="0" w:after="0" w:line="264"/>
              <w:ind w:left="160"/>
              <w:jc w:val="center"/>
            </w:pPr>
            <w:r>
              <w:rPr>
                <w:rFonts w:ascii="Times New Roman" w:hAnsi="Times New Roman"/>
                <w:b w:val="false"/>
                <w:i w:val="false"/>
                <w:color w:val="000000"/>
                <w:sz w:val="14"/>
              </w:rPr>
              <w:t>30 PDH</w:t>
            </w:r>
          </w:p>
          <w:p>
            <w:pPr>
              <w:spacing w:before="0" w:after="0" w:line="264"/>
              <w:ind w:left="160"/>
              <w:jc w:val="center"/>
            </w:pPr>
            <w:r>
              <w:rPr>
                <w:rFonts w:ascii="Times New Roman" w:hAnsi="Times New Roman"/>
                <w:b w:val="false"/>
                <w:i w:val="false"/>
                <w:color w:val="000000"/>
                <w:sz w:val="14"/>
              </w:rPr>
              <w:t>per quarter hour</w:t>
            </w:r>
          </w:p>
        </w:tc>
      </w:tr>
      <w:tr>
        <w:trPr>
          <w:trHeight w:val="195" w:hRule="atLeast"/>
        </w:trPr>
        <w:tc>
          <w:tcPr>
            <w:tcW w:w="785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1 Continuing education unit as defined in rule </w:t>
            </w:r>
            <w:hyperlink r:id="rId4">
              <w:r>
                <w:rPr>
                  <w:rStyle w:val="Hyperlink"/>
                  <w:rFonts w:ascii="Times New Roman" w:hAnsi="Times New Roman"/>
                  <w:b w:val="false"/>
                  <w:i w:val="false"/>
                  <w:color w:val="000000"/>
                  <w:sz w:val="14"/>
                </w:rPr>
                <w:t>481—1051.2</w:t>
              </w:r>
            </w:hyperlink>
            <w:r>
              <w:rPr>
                <w:rFonts w:ascii="Times New Roman" w:hAnsi="Times New Roman"/>
                <w:b w:val="false"/>
                <w:i w:val="false"/>
                <w:color w:val="000000"/>
                <w:sz w:val="14"/>
              </w:rPr>
              <w:t>(542B,272C).</w:t>
            </w:r>
          </w:p>
        </w:tc>
        <w:tc>
          <w:tcPr>
            <w:tcW w:w="1899"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 PDH</w:t>
            </w:r>
          </w:p>
        </w:tc>
      </w:tr>
      <w:tr>
        <w:trPr>
          <w:trHeight w:val="825" w:hRule="atLeast"/>
        </w:trPr>
        <w:tc>
          <w:tcPr>
            <w:tcW w:w="785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 Contact hour attendance in a class, course, seminar, or professional or technical presentation made at a meeting, in-house training session, convention or conference. Credit for qualifying seminars and workshops will be based on 1 PDH unit for each hour of attendance. Attendance at qualifying programs presented at professional or technical society meetings will earn PDH units for the actual time of each program, excluding time for breaks and meals.</w:t>
            </w:r>
          </w:p>
        </w:tc>
        <w:tc>
          <w:tcPr>
            <w:tcW w:w="1899" w:type="dxa"/>
            <w:tcBorders>
              <w:bottom w:val="single" w:color="000000" w:sz="8"/>
            </w:tcBorders>
            <w:tcMar>
              <w:top w:w="30" w:type="dxa"/>
              <w:left w:w="30" w:type="dxa"/>
              <w:bottom w:w="15" w:type="dxa"/>
              <w:right w:w="30" w:type="dxa"/>
            </w:tcMar>
            <w:vAlign w:val="top"/>
          </w:tcPr>
          <w:p>
            <w:pPr>
              <w:spacing w:before="0" w:after="0" w:line="264"/>
              <w:ind w:left="160"/>
              <w:jc w:val="center"/>
            </w:pPr>
            <w:r>
              <w:rPr>
                <w:rFonts w:ascii="Times New Roman" w:hAnsi="Times New Roman"/>
                <w:b w:val="false"/>
                <w:i w:val="false"/>
                <w:color w:val="000000"/>
                <w:sz w:val="14"/>
              </w:rPr>
              <w:t>1 PDH</w:t>
            </w:r>
          </w:p>
          <w:p>
            <w:pPr>
              <w:spacing w:before="0" w:after="0" w:line="264"/>
              <w:ind w:left="160"/>
              <w:jc w:val="center"/>
            </w:pPr>
            <w:r>
              <w:rPr>
                <w:rFonts w:ascii="Times New Roman" w:hAnsi="Times New Roman"/>
                <w:b w:val="false"/>
                <w:i w:val="false"/>
                <w:color w:val="000000"/>
                <w:sz w:val="14"/>
              </w:rPr>
              <w:t>per hour</w:t>
            </w:r>
          </w:p>
        </w:tc>
      </w:tr>
      <w:tr>
        <w:trPr>
          <w:trHeight w:val="660" w:hRule="atLeast"/>
        </w:trPr>
        <w:tc>
          <w:tcPr>
            <w:tcW w:w="7851"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1 Contact hour teaching a class, course, seminar, or a professional or technical presentation.</w:t>
            </w:r>
          </w:p>
          <w:p>
            <w:pPr>
              <w:spacing w:before="0" w:after="0" w:line="264"/>
              <w:ind w:left="160"/>
              <w:jc w:val="left"/>
            </w:pPr>
            <w:r>
              <w:rPr>
                <w:rFonts w:ascii="Times New Roman" w:hAnsi="Times New Roman"/>
                <w:b w:val="false"/>
                <w:i w:val="false"/>
                <w:color w:val="000000"/>
                <w:sz w:val="14"/>
              </w:rPr>
              <w:t>a. Teaching credit is valid for teaching a course or seminar for the first time only.</w:t>
            </w:r>
          </w:p>
          <w:p>
            <w:pPr>
              <w:spacing w:before="0" w:after="0" w:line="264"/>
              <w:ind w:left="160"/>
              <w:jc w:val="left"/>
            </w:pPr>
            <w:r>
              <w:rPr>
                <w:rFonts w:ascii="Times New Roman" w:hAnsi="Times New Roman"/>
                <w:b w:val="false"/>
                <w:i w:val="false"/>
                <w:color w:val="000000"/>
                <w:sz w:val="14"/>
              </w:rPr>
              <w:t>b. Teaching credit does not apply to full-time faculty.</w:t>
            </w:r>
          </w:p>
          <w:p>
            <w:pPr>
              <w:spacing w:before="0" w:after="0" w:line="264"/>
              <w:ind w:left="160"/>
              <w:jc w:val="left"/>
            </w:pPr>
            <w:r>
              <w:rPr>
                <w:rFonts w:ascii="Times New Roman" w:hAnsi="Times New Roman"/>
                <w:b w:val="false"/>
                <w:i w:val="false"/>
                <w:color w:val="000000"/>
                <w:sz w:val="14"/>
              </w:rPr>
              <w:t>c. Teaching credit is limited to 10 PDH per biennial renewal period.</w:t>
            </w:r>
          </w:p>
        </w:tc>
        <w:tc>
          <w:tcPr>
            <w:tcW w:w="1899" w:type="dxa"/>
            <w:tcBorders>
              <w:bottom w:val="single" w:color="000000" w:sz="8"/>
            </w:tcBorders>
            <w:tcMar>
              <w:top w:w="30" w:type="dxa"/>
              <w:left w:w="30" w:type="dxa"/>
              <w:bottom w:w="15" w:type="dxa"/>
              <w:right w:w="30" w:type="dxa"/>
            </w:tcMar>
            <w:vAlign w:val="top"/>
          </w:tcPr>
          <w:p>
            <w:pPr>
              <w:spacing w:before="0" w:after="0" w:line="264"/>
              <w:ind w:left="160"/>
              <w:jc w:val="center"/>
            </w:pPr>
            <w:r>
              <w:rPr>
                <w:rFonts w:ascii="Times New Roman" w:hAnsi="Times New Roman"/>
                <w:b w:val="false"/>
                <w:i w:val="false"/>
                <w:color w:val="000000"/>
                <w:sz w:val="14"/>
              </w:rPr>
              <w:t>2 PDH</w:t>
            </w:r>
          </w:p>
          <w:p>
            <w:pPr>
              <w:spacing w:before="0" w:after="0" w:line="264"/>
              <w:ind w:left="160"/>
              <w:jc w:val="center"/>
            </w:pPr>
            <w:r>
              <w:rPr>
                <w:rFonts w:ascii="Times New Roman" w:hAnsi="Times New Roman"/>
                <w:b w:val="false"/>
                <w:i w:val="false"/>
                <w:color w:val="000000"/>
                <w:sz w:val="14"/>
              </w:rPr>
              <w:t>per hour</w:t>
            </w:r>
          </w:p>
        </w:tc>
      </w:tr>
      <w:tr>
        <w:trPr>
          <w:trHeight w:val="360" w:hRule="atLeast"/>
        </w:trPr>
        <w:tc>
          <w:tcPr>
            <w:tcW w:w="7851"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Each published paper, article, or book.</w:t>
            </w:r>
          </w:p>
          <w:p>
            <w:pPr>
              <w:spacing w:before="0" w:after="0" w:line="264"/>
              <w:ind w:left="160"/>
              <w:jc w:val="left"/>
            </w:pPr>
            <w:r>
              <w:rPr>
                <w:rFonts w:ascii="Times New Roman" w:hAnsi="Times New Roman"/>
                <w:b w:val="false"/>
                <w:i w:val="false"/>
                <w:color w:val="000000"/>
                <w:sz w:val="14"/>
              </w:rPr>
              <w:t>Credit for published material is earned in the biennium of publication.</w:t>
            </w:r>
          </w:p>
        </w:tc>
        <w:tc>
          <w:tcPr>
            <w:tcW w:w="1899" w:type="dxa"/>
            <w:tcBorders>
              <w:bottom w:val="single" w:color="000000" w:sz="8"/>
            </w:tcBorders>
            <w:tcMar>
              <w:top w:w="30" w:type="dxa"/>
              <w:left w:w="30" w:type="dxa"/>
              <w:bottom w:w="15" w:type="dxa"/>
              <w:right w:w="30" w:type="dxa"/>
            </w:tcMar>
            <w:vAlign w:val="top"/>
          </w:tcPr>
          <w:p>
            <w:pPr>
              <w:spacing w:before="0" w:after="0" w:line="264"/>
              <w:ind w:left="160"/>
              <w:jc w:val="center"/>
            </w:pPr>
            <w:r>
              <w:rPr>
                <w:rFonts w:ascii="Times New Roman" w:hAnsi="Times New Roman"/>
                <w:b w:val="false"/>
                <w:i w:val="false"/>
                <w:color w:val="000000"/>
                <w:sz w:val="14"/>
              </w:rPr>
              <w:t>10 PDH</w:t>
            </w:r>
          </w:p>
          <w:p>
            <w:pPr>
              <w:spacing w:before="0" w:after="0" w:line="264"/>
              <w:ind w:left="160"/>
              <w:jc w:val="center"/>
            </w:pPr>
            <w:r>
              <w:rPr>
                <w:rFonts w:ascii="Times New Roman" w:hAnsi="Times New Roman"/>
                <w:b w:val="false"/>
                <w:i w:val="false"/>
                <w:color w:val="000000"/>
                <w:sz w:val="14"/>
              </w:rPr>
              <w:t>per publication</w:t>
            </w:r>
          </w:p>
        </w:tc>
      </w:tr>
      <w:tr>
        <w:trPr>
          <w:trHeight w:val="660" w:hRule="atLeast"/>
        </w:trPr>
        <w:tc>
          <w:tcPr>
            <w:tcW w:w="7851"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Active participation in a professional or technical society.</w:t>
            </w:r>
          </w:p>
          <w:p>
            <w:pPr>
              <w:spacing w:before="0" w:after="0" w:line="264"/>
              <w:ind w:left="160"/>
              <w:jc w:val="left"/>
            </w:pPr>
            <w:r>
              <w:rPr>
                <w:rFonts w:ascii="Times New Roman" w:hAnsi="Times New Roman"/>
                <w:b w:val="false"/>
                <w:i w:val="false"/>
                <w:color w:val="000000"/>
                <w:sz w:val="14"/>
              </w:rPr>
              <w:t>Credit for active participation in professional and technical societies is limited to 2 PDH per renewal period per organization and requires that a licensee serve as an officer or actively participate in a committee of the organization. PDH credits are earned for a minimum of one year’s service.</w:t>
            </w:r>
          </w:p>
        </w:tc>
        <w:tc>
          <w:tcPr>
            <w:tcW w:w="1899" w:type="dxa"/>
            <w:tcBorders>
              <w:bottom w:val="single" w:color="000000" w:sz="8"/>
            </w:tcBorders>
            <w:tcMar>
              <w:top w:w="30" w:type="dxa"/>
              <w:left w:w="30" w:type="dxa"/>
              <w:bottom w:w="15" w:type="dxa"/>
              <w:right w:w="30" w:type="dxa"/>
            </w:tcMar>
            <w:vAlign w:val="top"/>
          </w:tcPr>
          <w:p>
            <w:pPr>
              <w:spacing w:before="0" w:after="0" w:line="264"/>
              <w:ind w:left="160"/>
              <w:jc w:val="center"/>
            </w:pPr>
            <w:r>
              <w:rPr>
                <w:rFonts w:ascii="Times New Roman" w:hAnsi="Times New Roman"/>
                <w:b w:val="false"/>
                <w:i w:val="false"/>
                <w:color w:val="000000"/>
                <w:sz w:val="14"/>
              </w:rPr>
              <w:t>2 PDH</w:t>
            </w:r>
          </w:p>
          <w:p>
            <w:pPr>
              <w:spacing w:before="0" w:after="0" w:line="264"/>
              <w:ind w:left="160"/>
              <w:jc w:val="center"/>
            </w:pPr>
            <w:r>
              <w:rPr>
                <w:rFonts w:ascii="Times New Roman" w:hAnsi="Times New Roman"/>
                <w:b w:val="false"/>
                <w:i w:val="false"/>
                <w:color w:val="000000"/>
                <w:sz w:val="14"/>
              </w:rPr>
              <w:t>per organization per renewal period</w:t>
            </w:r>
          </w:p>
        </w:tc>
      </w:tr>
      <w:tr>
        <w:trPr>
          <w:trHeight w:val="360" w:hRule="atLeast"/>
        </w:trPr>
        <w:tc>
          <w:tcPr>
            <w:tcW w:w="7851"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Each patent.</w:t>
            </w:r>
          </w:p>
          <w:p>
            <w:pPr>
              <w:spacing w:before="0" w:after="0" w:line="264"/>
              <w:ind w:left="160"/>
              <w:jc w:val="left"/>
            </w:pPr>
            <w:r>
              <w:rPr>
                <w:rFonts w:ascii="Times New Roman" w:hAnsi="Times New Roman"/>
                <w:b w:val="false"/>
                <w:i w:val="false"/>
                <w:color w:val="000000"/>
                <w:sz w:val="14"/>
              </w:rPr>
              <w:t>Credit for patents is earned in the biennium the patent is issued.</w:t>
            </w:r>
          </w:p>
        </w:tc>
        <w:tc>
          <w:tcPr>
            <w:tcW w:w="1899" w:type="dxa"/>
            <w:tcBorders>
              <w:bottom w:val="single" w:color="000000" w:sz="8"/>
            </w:tcBorders>
            <w:tcMar>
              <w:top w:w="30" w:type="dxa"/>
              <w:left w:w="30" w:type="dxa"/>
              <w:bottom w:w="15" w:type="dxa"/>
              <w:right w:w="30" w:type="dxa"/>
            </w:tcMar>
            <w:vAlign w:val="top"/>
          </w:tcPr>
          <w:p>
            <w:pPr>
              <w:spacing w:before="0" w:after="0" w:line="264"/>
              <w:ind w:left="160"/>
              <w:jc w:val="center"/>
            </w:pPr>
            <w:r>
              <w:rPr>
                <w:rFonts w:ascii="Times New Roman" w:hAnsi="Times New Roman"/>
                <w:b w:val="false"/>
                <w:i w:val="false"/>
                <w:color w:val="000000"/>
                <w:sz w:val="14"/>
              </w:rPr>
              <w:t>10 PDH</w:t>
            </w:r>
          </w:p>
          <w:p>
            <w:pPr>
              <w:spacing w:before="0" w:after="0" w:line="264"/>
              <w:ind w:left="160"/>
              <w:jc w:val="center"/>
            </w:pPr>
            <w:r>
              <w:rPr>
                <w:rFonts w:ascii="Times New Roman" w:hAnsi="Times New Roman"/>
                <w:b w:val="false"/>
                <w:i w:val="false"/>
                <w:color w:val="000000"/>
                <w:sz w:val="14"/>
              </w:rPr>
              <w:t>per patent</w:t>
            </w:r>
          </w:p>
        </w:tc>
      </w:tr>
      <w:tr>
        <w:trPr>
          <w:trHeight w:val="825" w:hRule="atLeast"/>
        </w:trPr>
        <w:tc>
          <w:tcPr>
            <w:tcW w:w="7851"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Participation on an NCEES examination development committee or Iowa State Specific Land Surveying examination development committee, including the writing and grading of examination questions, writing reference materials for examinations, and evaluating past examination question performance. Licensees may claim a maximum of 30 PDH per biennial renewal period for participation in this activity.</w:t>
            </w:r>
          </w:p>
        </w:tc>
        <w:tc>
          <w:tcPr>
            <w:tcW w:w="1899" w:type="dxa"/>
            <w:tcBorders/>
            <w:tcMar>
              <w:top w:w="30" w:type="dxa"/>
              <w:left w:w="30" w:type="dxa"/>
              <w:bottom w:w="15" w:type="dxa"/>
              <w:right w:w="30" w:type="dxa"/>
            </w:tcMar>
            <w:vAlign w:val="top"/>
          </w:tcPr>
          <w:p>
            <w:pPr>
              <w:spacing w:before="0" w:after="0" w:line="264"/>
              <w:ind w:left="160"/>
              <w:jc w:val="center"/>
            </w:pPr>
            <w:r>
              <w:rPr>
                <w:rFonts w:ascii="Times New Roman" w:hAnsi="Times New Roman"/>
                <w:b w:val="false"/>
                <w:i w:val="false"/>
                <w:color w:val="000000"/>
                <w:sz w:val="14"/>
              </w:rPr>
              <w:t>2 PDH</w:t>
            </w:r>
          </w:p>
          <w:p>
            <w:pPr>
              <w:spacing w:before="0" w:after="0" w:line="264"/>
              <w:ind w:left="160"/>
              <w:jc w:val="center"/>
            </w:pPr>
            <w:r>
              <w:rPr>
                <w:rFonts w:ascii="Times New Roman" w:hAnsi="Times New Roman"/>
                <w:b w:val="false"/>
                <w:i w:val="false"/>
                <w:color w:val="000000"/>
                <w:sz w:val="14"/>
              </w:rPr>
              <w:t>per hour of committee participation</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1051.3(3)</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credit. </w:t>
      </w:r>
      <w:r>
        <w:rPr>
          <w:rFonts w:ascii="Times New Roman" w:hAnsi="Times New Roman"/>
          <w:b w:val="false"/>
          <w:i w:val="false"/>
          <w:color w:val="000000"/>
          <w:sz w:val="22"/>
        </w:rPr>
        <w:t>The board has final authority with respect to approval of courses, credit, PDH value for courses, and other methods of earning credit. No preapproval of offerings will be issued. The board may deny any renewal or reinstatement upon a determination of insufficient or unsatisfactory continuing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7670C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1051.2.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