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481—1051.2</w:t>
      </w:r>
      <w:r>
        <w:rPr>
          <w:rFonts w:ascii="Times New Roman" w:hAnsi="Times New Roman"/>
          <w:b/>
          <w:i w:val="false"/>
          <w:color w:val="000000"/>
          <w:sz w:val="22"/>
        </w:rPr>
        <w:t xml:space="preserve">(542B,272C)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“College or unit semester or quarter hour”</w:t>
      </w:r>
      <w:r>
        <w:rPr>
          <w:rFonts w:ascii="Times New Roman" w:hAnsi="Times New Roman"/>
          <w:b w:val="false"/>
          <w:i w:val="false"/>
          <w:color w:val="000000"/>
          <w:sz w:val="22"/>
        </w:rPr>
        <w:t> </w:t>
      </w:r>
      <w:r>
        <w:rPr>
          <w:rFonts w:ascii="Times New Roman" w:hAnsi="Times New Roman"/>
          <w:b w:val="false"/>
          <w:i w:val="false"/>
          <w:color w:val="000000"/>
          <w:sz w:val="22"/>
        </w:rPr>
        <w:t>means the unit of credit given for advanced technical and graduate courses from universities with programs accredited by the Engineering Accreditation Commission of the Accreditation Board for Engineering and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other related college course qualified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obtained by a licensee in order to maintain, improve, or expand skills and knowledge obtained prior to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unit (CEU)”</w:t>
      </w:r>
      <w:r>
        <w:rPr>
          <w:rFonts w:ascii="Times New Roman" w:hAnsi="Times New Roman"/>
          <w:b w:val="false"/>
          <w:i w:val="false"/>
          <w:color w:val="000000"/>
          <w:sz w:val="22"/>
        </w:rPr>
        <w:t> </w:t>
      </w:r>
      <w:r>
        <w:rPr>
          <w:rFonts w:ascii="Times New Roman" w:hAnsi="Times New Roman"/>
          <w:b w:val="false"/>
          <w:i w:val="false"/>
          <w:color w:val="000000"/>
          <w:sz w:val="22"/>
        </w:rPr>
        <w:t>means the unit of credit customarily granted for continuing education courses. One continuing education unit is given for ten hours of class in an approved continuing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or activity”</w:t>
      </w:r>
      <w:r>
        <w:rPr>
          <w:rFonts w:ascii="Times New Roman" w:hAnsi="Times New Roman"/>
          <w:b w:val="false"/>
          <w:i w:val="false"/>
          <w:color w:val="000000"/>
          <w:sz w:val="22"/>
        </w:rPr>
        <w:t> </w:t>
      </w:r>
      <w:r>
        <w:rPr>
          <w:rFonts w:ascii="Times New Roman" w:hAnsi="Times New Roman"/>
          <w:b w:val="false"/>
          <w:i w:val="false"/>
          <w:color w:val="000000"/>
          <w:sz w:val="22"/>
        </w:rPr>
        <w:t>means any qualifying course or activity with a clear purpose and objective that will maintain, improve, or expand the skills and knowledge relevant to the licensee’s field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any course or activity in which there is no real-time interaction between the training provider and the licensee, such as courses offered on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development hour”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“PDH”</w:t>
      </w:r>
      <w:r>
        <w:rPr>
          <w:rFonts w:ascii="Times New Roman" w:hAnsi="Times New Roman"/>
          <w:b w:val="false"/>
          <w:i w:val="false"/>
          <w:color w:val="000000"/>
          <w:sz w:val="22"/>
        </w:rPr>
        <w:t> </w:t>
      </w:r>
      <w:r>
        <w:rPr>
          <w:rFonts w:ascii="Times New Roman" w:hAnsi="Times New Roman"/>
          <w:b w:val="false"/>
          <w:i w:val="false"/>
          <w:color w:val="000000"/>
          <w:sz w:val="22"/>
        </w:rPr>
        <w:t>means a contact hour of instruction or presentation and is the common denominator for other units of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