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481—1049.3</w:t>
      </w:r>
      <w:r>
        <w:rPr>
          <w:rFonts w:ascii="Times New Roman" w:hAnsi="Times New Roman"/>
          <w:b/>
          <w:i w:val="false"/>
          <w:color w:val="000000"/>
          <w:sz w:val="22"/>
        </w:rPr>
        <w:t xml:space="preserve">(542B,272C) </w:t>
      </w:r>
      <w:r>
        <w:rPr>
          <w:rFonts w:ascii="Times New Roman" w:hAnsi="Times New Roman"/>
          <w:b/>
          <w:i w:val="false"/>
          <w:color w:val="000000"/>
          <w:sz w:val="22"/>
        </w:rPr>
        <w:t xml:space="preserve">Licensure by verification. </w:t>
      </w:r>
      <w:r>
        <w:rPr>
          <w:rFonts w:ascii="Times New Roman" w:hAnsi="Times New Roman"/>
          <w:b w:val="false"/>
          <w:i w:val="false"/>
          <w:color w:val="000000"/>
          <w:sz w:val="22"/>
        </w:rPr>
        <w:t xml:space="preserve">In addition to the requirements of rule </w:t>
      </w:r>
      <w:hyperlink r:id="rId4">
        <w:r>
          <w:rPr>
            <w:rStyle w:val="Hyperlink"/>
            <w:rFonts w:ascii="Times New Roman" w:hAnsi="Times New Roman"/>
            <w:b w:val="false"/>
            <w:i w:val="false"/>
            <w:color w:val="000000"/>
            <w:sz w:val="22"/>
          </w:rPr>
          <w:t>481—501.4</w:t>
        </w:r>
      </w:hyperlink>
      <w:r>
        <w:rPr>
          <w:rFonts w:ascii="Times New Roman" w:hAnsi="Times New Roman"/>
          <w:b w:val="false"/>
          <w:i w:val="false"/>
          <w:color w:val="000000"/>
          <w:sz w:val="22"/>
        </w:rPr>
        <w:t>(272C), professional land surveying candidates applying for an Iowa license by verification must pass the Iowa State Specific Land Surveying examination prior to being issued a license. The board will issue a temporary license that is valid for a period of three months to professional land surveying candidates who have not yet passed the Iowa State Specific Land Surveying examination prior to their application. The professional land surveying candidate may request one renewal of the temporary license for an additional period of three months.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
        <w:r>
          <w:rPr>
            <w:rStyle w:val="Hyperlink"/>
            <w:rFonts w:ascii="Times New Roman" w:hAnsi="Times New Roman"/>
            <w:b w:val="false"/>
            <w:i w:val="false"/>
            <w:color w:val="000000"/>
            <w:sz w:val="22"/>
          </w:rPr>
          <w:t>272C.12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7668C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501.4.pdf" Type="http://schemas.openxmlformats.org/officeDocument/2006/relationships/hyperlink" Id="rId4"/>
    <Relationship TargetMode="External" Target="https://www.legis.iowa.gov/docs/ico/chapter/272C.12.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