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481—1049.2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land surveying issued by a proper authority of a jurisdiction or possession of the United States, the District of Columbia, or any foreign country, based on requirements that do not conflict with the provisions of Iowa Code section </w:t>
      </w:r>
      <w:hyperlink r:id="rId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of a standard not lower than that specified in the applicable licensure Act, may, upon application and successful completion of the Iowa State Specific Land Surveying examination, be licensed without further examination. Comity applicants are governed by the same standards as are required of Iowa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An applicant for licensure by comity shall submit one or more professional land surveyor references on forms provided by the board to verify the number of years of satisfactory experience required with the applicant’s level of education.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1049.2(2)</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proof of active land surveying licensure in another jurisdiction and be in good standing with that jurisdiction’s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licensure by comity from a jurisdiction other than Iowa will satisfy the education and experience requirements as set forth in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481—1049.1</w:t>
        </w:r>
      </w:hyperlink>
      <w:r>
        <w:rPr>
          <w:rFonts w:ascii="Times New Roman" w:hAnsi="Times New Roman"/>
          <w:b w:val="false"/>
          <w:i w:val="false"/>
          <w:color w:val="000000"/>
          <w:sz w:val="22"/>
        </w:rPr>
        <w:t xml:space="preserve">(542B)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Fundamentals of Land Surveying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Principles and Practice of Land Surveying examination. </w:t>
      </w:r>
    </w:p>
    <w:p>
      <w:pPr>
        <w:spacing w:before="0" w:after="0"/>
        <w:ind w:left="120"/>
        <w:jc w:val="both"/>
      </w:pP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land surveying.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 for reasons including the subjective nature of such procedures, lack of verifiable grading standards, and heightened risk of inconsistent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an Iowa State 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1049.2(3)</w:t>
      </w:r>
      <w:r>
        <w:rPr>
          <w:rFonts w:ascii="Times New Roman" w:hAnsi="Times New Roman"/>
          <w:b w:val="false"/>
          <w:i w:val="false"/>
          <w:color w:val="000000"/>
          <w:sz w:val="22"/>
        </w:rPr>
        <w:t> </w:t>
      </w:r>
      <w:r>
        <w:rPr>
          <w:rFonts w:ascii="Times New Roman" w:hAnsi="Times New Roman"/>
          <w:b w:val="false"/>
          <w:i/>
          <w:color w:val="000000"/>
          <w:sz w:val="22"/>
        </w:rPr>
        <w:t xml:space="preserve">Substantial equivalency.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546.10(8)</w:t>
        </w:r>
      </w:hyperlink>
      <w:r>
        <w:rPr>
          <w:rFonts w:ascii="Times New Roman" w:hAnsi="Times New Roman"/>
          <w:b w:val="false"/>
          <w:i w:val="false"/>
          <w:color w:val="000000"/>
          <w:sz w:val="22"/>
        </w:rPr>
        <w:t>, the board may grant a comity application for licensure as a professional land surveyor if the board concludes that the applicant has met or exceeded all requirements for licensure applicable to initial applicants in Iowa, other than the sequence in which experience must be attained.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14.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ac/rule/481.1049.1.pdf" Type="http://schemas.openxmlformats.org/officeDocument/2006/relationships/hyperlink" Id="rId6"/>
    <Relationship TargetMode="External" Target="https://www.legis.iowa.gov/docs/ico/chapter/546.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