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481—1048.2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engineering issued by a proper authority of a jurisdiction or possession of the United States, the District of Columbia, or any foreign country, based on requirements that do not conflict with the provisions of Iowa Code section </w:t>
      </w:r>
      <w:hyperlink r:id="rId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who has met standards determined by the board to be substantially equivalent to those required of applicants for initial licensure in this state may, upon application, be licensed without further examination. Comity applicants are governed by the same standards as are required of applicants for initial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 xml:space="preserve">An applicant for licensure by comity shall submit references on forms provided by the board to verify satisfactory engineering experience, as provided in paragraph </w:t>
      </w:r>
      <w:hyperlink r:id="rId5">
        <w:r>
          <w:rPr>
            <w:rStyle w:val="Hyperlink"/>
            <w:rFonts w:ascii="Times New Roman" w:hAnsi="Times New Roman"/>
            <w:b w:val="false"/>
            <w:i w:val="false"/>
            <w:color w:val="000000"/>
            <w:sz w:val="22"/>
          </w:rPr>
          <w:t>1048.1(4)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1048.2(2)</w:t>
      </w:r>
      <w:r>
        <w:rPr>
          <w:rFonts w:ascii="Times New Roman" w:hAnsi="Times New Roman"/>
          <w:b w:val="false"/>
          <w:i w:val="false"/>
          <w:color w:val="000000"/>
          <w:sz w:val="22"/>
        </w:rPr>
        <w:t> </w:t>
      </w:r>
      <w:r>
        <w:rPr>
          <w:rFonts w:ascii="Times New Roman" w:hAnsi="Times New Roman"/>
          <w:b w:val="false"/>
          <w:i/>
          <w:color w:val="000000"/>
          <w:sz w:val="22"/>
        </w:rPr>
        <w:t xml:space="preserve">Basis for evaluation of applications. </w:t>
      </w:r>
      <w:r>
        <w:rPr>
          <w:rFonts w:ascii="Times New Roman" w:hAnsi="Times New Roman"/>
          <w:b w:val="false"/>
          <w:i w:val="false"/>
          <w:color w:val="000000"/>
          <w:sz w:val="22"/>
        </w:rPr>
        <w:t>Applications for licensure by comity will be evaluated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record of education, references, practical experience, and successful completion of approved examinations will be reviewed to determine if it currently satisfies the substantive requirements of Iowa Code section </w:t>
      </w:r>
      <w:hyperlink r:id="rId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In reviewing the education, references, and practical experience of comity applicants, the board will use the same criteria used by the board to determine the eligibility of a candidate for the Principles and Practice of Engineering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licensure in a jurisdiction other than Iowa will be reviewed to determine if it was granted only after satisfaction of requirements substantially equivalent to those that are required of applicants for initial licensure in Iowa under Iowa Code section </w:t>
      </w:r>
      <w:hyperlink r:id="rId7">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When determining whether the licensing standards satisfied by a comity applicant are substantially equivalent to those required in Iowa, the board considers each of the four licensing prerequisites in Iowa Code section </w:t>
      </w:r>
      <w:hyperlink r:id="rId8">
        <w:r>
          <w:rPr>
            <w:rStyle w:val="Hyperlink"/>
            <w:rFonts w:ascii="Times New Roman" w:hAnsi="Times New Roman"/>
            <w:b w:val="false"/>
            <w:i w:val="false"/>
            <w:color w:val="000000"/>
            <w:sz w:val="22"/>
          </w:rPr>
          <w:t>542B.14(1)</w:t>
        </w:r>
      </w:hyperlink>
      <w:r>
        <w:rPr>
          <w:rFonts w:ascii="Times New Roman" w:hAnsi="Times New Roman"/>
          <w:b w:val="false"/>
          <w:i w:val="false"/>
          <w:color w:val="000000"/>
          <w:sz w:val="22"/>
        </w:rPr>
        <w:t xml:space="preserve"> individually. The licensing standards are satisfied by the comity applicant if the standards are equal or superior to those required in Iowa for education, fundamentals examination, experience, and professional examination. Unless expressly stated in this chapter, the board will not consider an applicant’s superior satisfaction of one licensing prerequisite, such as a higher level of education than is required in Iowa, as resolving an applicant’s lack of compliance with another prerequisite, such as professional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1048.2(3)</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by comity from a jurisdiction other than Iowa meets or exceeds the education requirements set forth in Iowa Code section </w:t>
      </w:r>
      <w:hyperlink r:id="rId9">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subrule </w:t>
      </w:r>
      <w:hyperlink r:id="rId10">
        <w:r>
          <w:rPr>
            <w:rStyle w:val="Hyperlink"/>
            <w:rFonts w:ascii="Times New Roman" w:hAnsi="Times New Roman"/>
            <w:b w:val="false"/>
            <w:i w:val="false"/>
            <w:color w:val="000000"/>
            <w:sz w:val="22"/>
          </w:rPr>
          <w:t>1048.1(1)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Fundamentals of Engineering examination. An applicant who graduated from a satisfactory engineering program and who has ten years or more of work experience satisfactory to the board is not required to take the Fundamentals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successfully completes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satisfactory practical experience under paragraph </w:t>
      </w:r>
      <w:hyperlink r:id="rId11">
        <w:r>
          <w:rPr>
            <w:rStyle w:val="Hyperlink"/>
            <w:rFonts w:ascii="Times New Roman" w:hAnsi="Times New Roman"/>
            <w:b w:val="false"/>
            <w:i w:val="false"/>
            <w:color w:val="000000"/>
            <w:sz w:val="22"/>
          </w:rPr>
          <w:t>1048.1(3)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engineering in a specific branch of engineering, such as civil, structural, electrical, or mechanical engineering.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w:t>
      </w:r>
    </w:p>
    <w:p>
      <w:pPr>
        <w:spacing w:before="0" w:after="0"/>
        <w:ind w:left="120"/>
        <w:jc w:val="both"/>
      </w:pPr>
      <w:r>
        <w:rPr>
          <w:rFonts w:ascii="Times New Roman" w:hAnsi="Times New Roman"/>
          <w:b/>
          <w:i w:val="false"/>
          <w:color w:val="000000"/>
          <w:sz w:val="22"/>
        </w:rPr>
        <w:t>1048.2(4)</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 jurisdiction other than Iowa prior to July 1, 1988, the board will employ the following chart to determine if the applicant’s licensure was granted after satisfaction of requirements substantially equivalent to those that were required by Iowa Code section </w:t>
      </w:r>
      <w:hyperlink r:id="rId12">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297"/>
        <w:gridCol w:w="2167"/>
        <w:gridCol w:w="2359"/>
      </w:tblGrid>
      <w:tr>
        <w:trPr>
          <w:trHeight w:val="36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EXPERIENCE REQUIREMENTS FOR COMITY APPLICANTS</w:t>
            </w:r>
          </w:p>
          <w:p>
            <w:pPr>
              <w:spacing w:before="0" w:after="0" w:line="264"/>
              <w:ind w:left="160"/>
              <w:jc w:val="center"/>
            </w:pPr>
            <w:r>
              <w:rPr>
                <w:rFonts w:ascii="Times New Roman" w:hAnsi="Times New Roman"/>
                <w:b w:val="false"/>
                <w:i w:val="false"/>
                <w:color w:val="000000"/>
                <w:sz w:val="14"/>
              </w:rPr>
              <w:t>Who were licensed prior to July 1, 1988</w:t>
            </w:r>
          </w:p>
        </w:tc>
      </w:tr>
      <w:tr>
        <w:trPr>
          <w:trHeight w:val="1125" w:hRule="atLeast"/>
        </w:trPr>
        <w:tc>
          <w:tcPr>
            <w:tcW w:w="5297"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If the applicant’s educational level was:</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additional years of experience prior to taking the Fundamentals of Engineering examination:</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years of experience after receipt of the qualifying degree and prior to taking the Principles and Practice of Engineering examination:</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No post-high school education</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mathematics or physical sciences</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BS degree in mathematics or physical sciences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engineering technology programs and architecture</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 nonaccredited engineering technology program or BA in architecture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an accredited engineering technology program</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Bachelor of architecture, four years or more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engineering technology or architecture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a nonaccredited engineering program</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 nonaccredited engineering program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an accredited engineering program</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an accredited engineering program</w:t>
            </w:r>
          </w:p>
        </w:tc>
        <w:tc>
          <w:tcPr>
            <w:tcW w:w="2167"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another jurisdiction and who meet the requirements of Iowa Code section </w:t>
      </w:r>
      <w:hyperlink r:id="rId13">
        <w:r>
          <w:rPr>
            <w:rStyle w:val="Hyperlink"/>
            <w:rFonts w:ascii="Times New Roman" w:hAnsi="Times New Roman"/>
            <w:b w:val="false"/>
            <w:i w:val="false"/>
            <w:color w:val="000000"/>
            <w:sz w:val="22"/>
          </w:rPr>
          <w:t>542B.14(1)</w:t>
        </w:r>
      </w:hyperlink>
      <w:r>
        <w:rPr>
          <w:rFonts w:ascii="Times New Roman" w:hAnsi="Times New Roman"/>
          <w:b w:val="false"/>
          <w:i/>
          <w:color w:val="000000"/>
          <w:sz w:val="22"/>
        </w:rPr>
        <w:t>“a”</w:t>
      </w:r>
      <w:r>
        <w:rPr>
          <w:rFonts w:ascii="Times New Roman" w:hAnsi="Times New Roman"/>
          <w:b w:val="false"/>
          <w:i w:val="false"/>
          <w:color w:val="000000"/>
          <w:sz w:val="22"/>
        </w:rPr>
        <w:t xml:space="preserve">(1)(c), the board will employ the following chart to determine if the applicant’s licensure was granted after satisfaction of requirements substantially equivalent to those that were required by Iowa Code section </w:t>
      </w:r>
      <w:hyperlink r:id="rId1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259"/>
        <w:gridCol w:w="2187"/>
        <w:gridCol w:w="2379"/>
      </w:tblGrid>
      <w:tr>
        <w:trPr>
          <w:trHeight w:val="36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EXPERIENCE REQUIREMENTS FOR COMITY APPLICANTS</w:t>
            </w:r>
          </w:p>
          <w:p>
            <w:pPr>
              <w:spacing w:before="0" w:after="0" w:line="264"/>
              <w:ind w:left="160"/>
              <w:jc w:val="center"/>
            </w:pPr>
            <w:r>
              <w:rPr>
                <w:rFonts w:ascii="Times New Roman" w:hAnsi="Times New Roman"/>
                <w:b w:val="false"/>
                <w:i w:val="false"/>
                <w:color w:val="000000"/>
                <w:sz w:val="14"/>
              </w:rPr>
              <w:t xml:space="preserve">Who meet the requirements of Iowa Code section </w:t>
            </w:r>
            <w:hyperlink r:id="rId15">
              <w:r>
                <w:rPr>
                  <w:rStyle w:val="Hyperlink"/>
                  <w:rFonts w:ascii="Times New Roman" w:hAnsi="Times New Roman"/>
                  <w:b w:val="false"/>
                  <w:i w:val="false"/>
                  <w:color w:val="000000"/>
                  <w:sz w:val="14"/>
                </w:rPr>
                <w:t>542B.14(1)</w:t>
              </w:r>
              <w:r>
                <w:rPr>
                  <w:rFonts w:ascii="Times New Roman" w:hAnsi="Times New Roman"/>
                  <w:b w:val="false"/>
                  <w:i/>
                  <w:color w:val="000000"/>
                  <w:sz w:val="14"/>
                </w:rPr>
                <w:t>“a”</w:t>
              </w:r>
              <w:r>
                <w:rPr>
                  <w:rFonts w:ascii="Times New Roman" w:hAnsi="Times New Roman"/>
                  <w:b w:val="false"/>
                  <w:i w:val="false"/>
                  <w:color w:val="000000"/>
                  <w:sz w:val="14"/>
                </w:rPr>
                <w:t>(1)(c)</w:t>
              </w:r>
            </w:hyperlink>
          </w:p>
        </w:tc>
      </w:tr>
      <w:tr>
        <w:trPr>
          <w:trHeight w:val="1125" w:hRule="atLeast"/>
        </w:trPr>
        <w:tc>
          <w:tcPr>
            <w:tcW w:w="525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If the applicant’s educational level was:</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additional years of experience prior to taking the Fundamentals of Engineering examination:</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years of experience after receipt of the qualifying degree and prior to taking the Principles and Practice of Engineering examination:</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College or junior college (mathematics or physical sciences)</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All engineering technology programs and architecture</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nonaccredited technology or BA in architecture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accredited technology</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or more, bachelor of architecture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technology or architecture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Engineering program, nonaccredited</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Engineering program, accredited</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other applicants who were originally licensed in a jurisdiction other than Iowa on or after July 1, 1988, the board will employ the chart found at subrule </w:t>
      </w:r>
      <w:hyperlink r:id="rId16">
        <w:r>
          <w:rPr>
            <w:rStyle w:val="Hyperlink"/>
            <w:rFonts w:ascii="Times New Roman" w:hAnsi="Times New Roman"/>
            <w:b w:val="false"/>
            <w:i w:val="false"/>
            <w:color w:val="000000"/>
            <w:sz w:val="22"/>
          </w:rPr>
          <w:t>1048.1(5)</w:t>
        </w:r>
      </w:hyperlink>
      <w:r>
        <w:rPr>
          <w:rFonts w:ascii="Times New Roman" w:hAnsi="Times New Roman"/>
          <w:b w:val="false"/>
          <w:i w:val="false"/>
          <w:color w:val="000000"/>
          <w:sz w:val="22"/>
        </w:rPr>
        <w:t xml:space="preserve"> to determine if the applicant’s licensure was granted after satisfaction of requirements substantially equivalent to those that are required by Iowa Code section </w:t>
      </w:r>
      <w:hyperlink r:id="rId17">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applicant’s master’s degree in engineering is to be from an institution in the United States of America with an accredited bachelor’s degree in the same curriculum, and the master’s degree candidate is required to fulfill the requirements for the bachelor’s degree in the same area of specialization.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14.pdf" Type="http://schemas.openxmlformats.org/officeDocument/2006/relationships/hyperlink" Id="rId4"/>
    <Relationship TargetMode="External" Target="https://www.legis.iowa.gov/docs/iac/rule/481.1048.1.pdf" Type="http://schemas.openxmlformats.org/officeDocument/2006/relationships/hyperlink" Id="rId5"/>
    <Relationship TargetMode="External" Target="https://www.legis.iowa.gov/docs/ico/chapter/542B.14.pdf" Type="http://schemas.openxmlformats.org/officeDocument/2006/relationships/hyperlink" Id="rId6"/>
    <Relationship TargetMode="External" Target="https://www.legis.iowa.gov/docs/ico/chapter/542B.14.pdf" Type="http://schemas.openxmlformats.org/officeDocument/2006/relationships/hyperlink" Id="rId7"/>
    <Relationship TargetMode="External" Target="https://www.legis.iowa.gov/docs/ico/chapter/542B.14.pdf" Type="http://schemas.openxmlformats.org/officeDocument/2006/relationships/hyperlink" Id="rId8"/>
    <Relationship TargetMode="External" Target="https://www.legis.iowa.gov/docs/ico/chapter/542B.14.pdf" Type="http://schemas.openxmlformats.org/officeDocument/2006/relationships/hyperlink" Id="rId9"/>
    <Relationship TargetMode="External" Target="https://www.legis.iowa.gov/docs/iac/rule/481.1048.1.pdf" Type="http://schemas.openxmlformats.org/officeDocument/2006/relationships/hyperlink" Id="rId10"/>
    <Relationship TargetMode="External" Target="https://www.legis.iowa.gov/docs/iac/rule/481.1048.1.pdf" Type="http://schemas.openxmlformats.org/officeDocument/2006/relationships/hyperlink" Id="rId11"/>
    <Relationship TargetMode="External" Target="https://www.legis.iowa.gov/docs/ico/chapter/542B.14.pdf" Type="http://schemas.openxmlformats.org/officeDocument/2006/relationships/hyperlink" Id="rId12"/>
    <Relationship TargetMode="External" Target="https://www.legis.iowa.gov/docs/ico/chapter/542B.14.pdf" Type="http://schemas.openxmlformats.org/officeDocument/2006/relationships/hyperlink" Id="rId13"/>
    <Relationship TargetMode="External" Target="https://www.legis.iowa.gov/docs/ico/chapter/542B.14.pdf" Type="http://schemas.openxmlformats.org/officeDocument/2006/relationships/hyperlink" Id="rId14"/>
    <Relationship TargetMode="External" Target="https://www.legis.iowa.gov/docs/ico/chapter/542B.14.pdf" Type="http://schemas.openxmlformats.org/officeDocument/2006/relationships/hyperlink" Id="rId15"/>
    <Relationship TargetMode="External" Target="https://www.legis.iowa.gov/docs/iac/rule/481.1048.1.pdf" Type="http://schemas.openxmlformats.org/officeDocument/2006/relationships/hyperlink" Id="rId16"/>
    <Relationship TargetMode="External" Target="https://www.legis.iowa.gov/docs/ico/chapter/542B.14.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