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481—1047.5</w:t>
      </w:r>
      <w:r>
        <w:rPr>
          <w:rFonts w:ascii="Times New Roman" w:hAnsi="Times New Roman"/>
          <w:b/>
          <w:i w:val="false"/>
          <w:color w:val="000000"/>
          <w:sz w:val="22"/>
        </w:rPr>
        <w:t xml:space="preserve">(542B) </w:t>
      </w:r>
      <w:r>
        <w:rPr>
          <w:rFonts w:ascii="Times New Roman" w:hAnsi="Times New Roman"/>
          <w:b/>
          <w:i w:val="false"/>
          <w:color w:val="000000"/>
          <w:sz w:val="22"/>
        </w:rPr>
        <w:t xml:space="preserve">Reinstatement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a license that has lapsed for one year or more, the applicant for reinstatement must pay the fee under rule </w:t>
      </w:r>
      <w:hyperlink r:id="rId4">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satisfy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45 professional development hours achieved within the current and previous biennium (dual licensees must provide documentation of 30 professional development hours for each profession);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the principles and practice examination within one year immediately prior to application for reinstatement;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for reinstatement who is an out-of-state resident, submit a statement from the resident state’s licensing board as documented evidence of compliance with the resident state’s mandatory continuing education during the period that the licensee’s Iowa license was lapsed. An applicant for reinstatement whose resident state has no mandatory continuing education shall comply with the documented evidence as outlined in this subrule and at </w:t>
      </w:r>
      <w:hyperlink r:id="rId5">
        <w:r>
          <w:rPr>
            <w:rStyle w:val="Hyperlink"/>
            <w:rFonts w:ascii="Times New Roman" w:hAnsi="Times New Roman"/>
            <w:b w:val="false"/>
            <w:i w:val="false"/>
            <w:color w:val="000000"/>
            <w:sz w:val="22"/>
          </w:rPr>
          <w:t>481—subrule 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1047.5(2)</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a license that has lapsed for less than one year, the applicant for reinstatement must pay the fee under rule </w:t>
      </w:r>
      <w:hyperlink r:id="rId6">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satisfy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30 professional development hours achieved within the current and previous biennium (dual licensees must provide documentation of 20 professional development hours for each profession). Professional development hours used for reinstatement shall not be reused at the next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the principles and practice examination within one year immediately prior to application for reinstatement;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for reinstatement who is an out-of-state resident, submit a statement from the resident state’s licensing board as documented evidence of compliance with the resident state’s mandatory continuing education requirement during the period that the licensee’s Iowa license was lapsed. The statement shall bear the seal of the licensing board. An applicant for reinstatement whose resident state has no mandatory continuing education requirement shall comply with the documented evidence requirement as outlined in this subrule and at </w:t>
      </w:r>
      <w:hyperlink r:id="rId7">
        <w:r>
          <w:rPr>
            <w:rStyle w:val="Hyperlink"/>
            <w:rFonts w:ascii="Times New Roman" w:hAnsi="Times New Roman"/>
            <w:b w:val="false"/>
            <w:i w:val="false"/>
            <w:color w:val="000000"/>
            <w:sz w:val="22"/>
          </w:rPr>
          <w:t>481—subrule 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1047.5(3)</w:t>
      </w:r>
      <w:r>
        <w:rPr>
          <w:rFonts w:ascii="Times New Roman" w:hAnsi="Times New Roman"/>
          <w:b w:val="false"/>
          <w:i w:val="false"/>
          <w:color w:val="000000"/>
          <w:sz w:val="22"/>
        </w:rPr>
        <w:t> </w:t>
      </w:r>
      <w:r>
        <w:rPr>
          <w:rFonts w:ascii="Times New Roman" w:hAnsi="Times New Roman"/>
          <w:b w:val="false"/>
          <w:i w:val="false"/>
          <w:color w:val="000000"/>
          <w:sz w:val="22"/>
        </w:rPr>
        <w:t>A lapsed license may not be reinstated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1047.5(4)</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from inactive status to active status, the applicant for reinstatement must pay the fee under rule </w:t>
      </w:r>
      <w:hyperlink r:id="rId8">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provide documentation of 45 professional development hours achieved within the current and previous biennium (dual licensees must provide documentation of 30 professional development hours for each profession). Professional development hours used for a reinstatement shall not be reused at the next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46.1.pdf" Type="http://schemas.openxmlformats.org/officeDocument/2006/relationships/hyperlink" Id="rId4"/>
    <Relationship TargetMode="External" Target="https://www.legis.iowa.gov/docs/iac/rule/481.1051.8.pdf" Type="http://schemas.openxmlformats.org/officeDocument/2006/relationships/hyperlink" Id="rId5"/>
    <Relationship TargetMode="External" Target="https://www.legis.iowa.gov/docs/iac/rule/481.1046.1.pdf" Type="http://schemas.openxmlformats.org/officeDocument/2006/relationships/hyperlink" Id="rId6"/>
    <Relationship TargetMode="External" Target="https://www.legis.iowa.gov/docs/iac/rule/481.1051.8.pdf" Type="http://schemas.openxmlformats.org/officeDocument/2006/relationships/hyperlink" Id="rId7"/>
    <Relationship TargetMode="External" Target="https://www.legis.iowa.gov/docs/iac/rule/481.1046.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