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481—1047.4</w:t>
      </w:r>
      <w:r>
        <w:rPr>
          <w:rFonts w:ascii="Times New Roman" w:hAnsi="Times New Roman"/>
          <w:b/>
          <w:i w:val="false"/>
          <w:color w:val="000000"/>
          <w:sz w:val="22"/>
        </w:rPr>
        <w:t xml:space="preserve">(542B) </w:t>
      </w:r>
      <w:r>
        <w:rPr>
          <w:rFonts w:ascii="Times New Roman" w:hAnsi="Times New Roman"/>
          <w:b/>
          <w:i w:val="false"/>
          <w:color w:val="000000"/>
          <w:sz w:val="22"/>
        </w:rPr>
        <w:t xml:space="preserve">Renewal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1047.4(1)</w:t>
      </w:r>
      <w:r>
        <w:rPr>
          <w:rFonts w:ascii="Times New Roman" w:hAnsi="Times New Roman"/>
          <w:b w:val="false"/>
          <w:i w:val="false"/>
          <w:color w:val="000000"/>
          <w:sz w:val="22"/>
        </w:rPr>
        <w:t> </w:t>
      </w:r>
      <w:r>
        <w:rPr>
          <w:rFonts w:ascii="Times New Roman" w:hAnsi="Times New Roman"/>
          <w:b w:val="false"/>
          <w:i/>
          <w:color w:val="000000"/>
          <w:sz w:val="22"/>
        </w:rPr>
        <w:t xml:space="preserve">Expiration dates. </w:t>
      </w:r>
      <w:r>
        <w:rPr>
          <w:rFonts w:ascii="Times New Roman" w:hAnsi="Times New Roman"/>
          <w:b w:val="false"/>
          <w:i w:val="false"/>
          <w:color w:val="000000"/>
          <w:sz w:val="22"/>
        </w:rPr>
        <w:t>Certificates of licensure expire biennially on December 31. Certificates that were initially issued in even-numbered years expire in odd-numbered years and certificates that were initially issued in odd-numbered years expire in even-numbered years. In order to maintain authorization to practice engineering or land surveying in Iowa, licensees must renew their certificates of licensure on or prior to the expiration date. A licensee who fails to renew prior to the date the certificate expires is not authorized to practice in Iowa unless the certificate is reinstated as provided in these rules. However, the board will accept an otherwise sufficient renewal application that is untimely if the board receives the application and late fee within 30 days of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1047.4(2)</w:t>
      </w:r>
      <w:r>
        <w:rPr>
          <w:rFonts w:ascii="Times New Roman" w:hAnsi="Times New Roman"/>
          <w:b w:val="false"/>
          <w:i w:val="false"/>
          <w:color w:val="000000"/>
          <w:sz w:val="22"/>
        </w:rPr>
        <w:t> </w:t>
      </w:r>
      <w:r>
        <w:rPr>
          <w:rFonts w:ascii="Times New Roman" w:hAnsi="Times New Roman"/>
          <w:b w:val="false"/>
          <w:i/>
          <w:color w:val="000000"/>
          <w:sz w:val="22"/>
        </w:rPr>
        <w:t xml:space="preserve">Renewal notification. </w:t>
      </w:r>
      <w:r>
        <w:rPr>
          <w:rFonts w:ascii="Times New Roman" w:hAnsi="Times New Roman"/>
          <w:b w:val="false"/>
          <w:i w:val="false"/>
          <w:color w:val="000000"/>
          <w:sz w:val="22"/>
        </w:rPr>
        <w:t>The board typically mails a renewal notification to a licensee’s last- known address at least one month prior to the license expiration date. Neither the board’s failure to mail a renewal notification nor the licensee’s failure to receive a renewal notification affects in any way the licensee’s duty to timely renew if the licensee intends to continue practicing in Iowa. Licensees need to contact the board office if they do not receive a renewal notification prior to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1047.4(3)</w:t>
      </w:r>
      <w:r>
        <w:rPr>
          <w:rFonts w:ascii="Times New Roman" w:hAnsi="Times New Roman"/>
          <w:b w:val="false"/>
          <w:i w:val="false"/>
          <w:color w:val="000000"/>
          <w:sz w:val="22"/>
        </w:rPr>
        <w:t> </w:t>
      </w:r>
      <w:r>
        <w:rPr>
          <w:rFonts w:ascii="Times New Roman" w:hAnsi="Times New Roman"/>
          <w:b w:val="false"/>
          <w:i/>
          <w:color w:val="000000"/>
          <w:sz w:val="22"/>
        </w:rPr>
        <w:t xml:space="preserve">Renewal process. </w:t>
      </w:r>
      <w:r>
        <w:rPr>
          <w:rFonts w:ascii="Times New Roman" w:hAnsi="Times New Roman"/>
          <w:b w:val="false"/>
          <w:i w:val="false"/>
          <w:color w:val="000000"/>
          <w:sz w:val="22"/>
        </w:rPr>
        <w:t>Upon receipt of a timely and sufficient renewal application, with the proper fee, the board’s executive secretary will issue a new license reflecting the next expiration date, unless grounds exist for denial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1047.4(4)</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expiration. </w:t>
      </w:r>
      <w:r>
        <w:rPr>
          <w:rFonts w:ascii="Times New Roman" w:hAnsi="Times New Roman"/>
          <w:b w:val="false"/>
          <w:i w:val="false"/>
          <w:color w:val="000000"/>
          <w:sz w:val="22"/>
        </w:rPr>
        <w:t>The board will notify licensees whose certificates of licensure have expired. The failure of the board to provide this courtesy notification, or the failure of the licensee to receive the courtesy notification, does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1047.4(5)</w:t>
      </w:r>
      <w:r>
        <w:rPr>
          <w:rFonts w:ascii="Times New Roman" w:hAnsi="Times New Roman"/>
          <w:b w:val="false"/>
          <w:i w:val="false"/>
          <w:color w:val="000000"/>
          <w:sz w:val="22"/>
        </w:rPr>
        <w:t> </w:t>
      </w:r>
      <w:r>
        <w:rPr>
          <w:rFonts w:ascii="Times New Roman" w:hAnsi="Times New Roman"/>
          <w:b w:val="false"/>
          <w:i/>
          <w:color w:val="000000"/>
          <w:sz w:val="22"/>
        </w:rPr>
        <w:t xml:space="preserve">Sanction for practicing after license expiration. </w:t>
      </w:r>
      <w:r>
        <w:rPr>
          <w:rFonts w:ascii="Times New Roman" w:hAnsi="Times New Roman"/>
          <w:b w:val="false"/>
          <w:i w:val="false"/>
          <w:color w:val="000000"/>
          <w:sz w:val="22"/>
        </w:rPr>
        <w:t>A licensee who continues to practice in Iowa after the license has expired is subject to disciplinary action. Such unauthorized activity may also provide grounds to deny a licensee’s application to reinstate.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1047.4(6)</w:t>
      </w:r>
      <w:r>
        <w:rPr>
          <w:rFonts w:ascii="Times New Roman" w:hAnsi="Times New Roman"/>
          <w:b w:val="false"/>
          <w:i w:val="false"/>
          <w:color w:val="000000"/>
          <w:sz w:val="22"/>
        </w:rPr>
        <w:t> </w:t>
      </w:r>
      <w:r>
        <w:rPr>
          <w:rFonts w:ascii="Times New Roman" w:hAnsi="Times New Roman"/>
          <w:b w:val="false"/>
          <w:i/>
          <w:color w:val="000000"/>
          <w:sz w:val="22"/>
        </w:rPr>
        <w:t xml:space="preserve">Timely and sufficient renewal application. </w:t>
      </w:r>
      <w:r>
        <w:rPr>
          <w:rFonts w:ascii="Times New Roman" w:hAnsi="Times New Roman"/>
          <w:b w:val="false"/>
          <w:i w:val="false"/>
          <w:color w:val="000000"/>
          <w:sz w:val="22"/>
        </w:rPr>
        <w:t xml:space="preserve">Within the meaning of Iowa Code section </w:t>
      </w:r>
      <w:hyperlink r:id="rId4">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through the online renewal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Fully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Accompanied by the proper fee. The fee is deemed improper if, for instance, the amount is incorrect, the fee was not included with the application, the credit card number provided by the applicant is incorrect, the date of expiration of a credit card is left off the application or is incorrect, the attempted credit card transaction is rejected, or the applicant’s check is returned for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1047.4(7)</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accuracy of renewal application. </w:t>
      </w:r>
      <w:r>
        <w:rPr>
          <w:rFonts w:ascii="Times New Roman" w:hAnsi="Times New Roman"/>
          <w:b w:val="false"/>
          <w:i w:val="false"/>
          <w:color w:val="000000"/>
          <w:sz w:val="22"/>
        </w:rPr>
        <w:t>The licensee is responsible for verifying the accuracy of the information submitted on the renewal application regardless of how the application is submitted or by whom it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1047.4(8)</w:t>
      </w:r>
      <w:r>
        <w:rPr>
          <w:rFonts w:ascii="Times New Roman" w:hAnsi="Times New Roman"/>
          <w:b w:val="false"/>
          <w:i w:val="false"/>
          <w:color w:val="000000"/>
          <w:sz w:val="22"/>
        </w:rPr>
        <w:t> </w:t>
      </w:r>
      <w:r>
        <w:rPr>
          <w:rFonts w:ascii="Times New Roman" w:hAnsi="Times New Roman"/>
          <w:b w:val="false"/>
          <w:i/>
          <w:color w:val="000000"/>
          <w:sz w:val="22"/>
        </w:rPr>
        <w:t xml:space="preserve">Denial of renewal application. </w:t>
      </w:r>
      <w:r>
        <w:rPr>
          <w:rFonts w:ascii="Times New Roman" w:hAnsi="Times New Roman"/>
          <w:b w:val="false"/>
          <w:i w:val="false"/>
          <w:color w:val="000000"/>
          <w:sz w:val="22"/>
        </w:rPr>
        <w:t xml:space="preserve">If the board, upon receipt of a timely, complete and sufficient application to renew a certificate of licensure, accompanied by the proper fee, denies the application, the executive secretary will send written notice to the applicant by restricted, certified mail, return receipt requested, identifying the basis for denial. The applicant may contest the board’s decision as provided in </w:t>
      </w:r>
      <w:hyperlink r:id="rId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1047.4(9)</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A licensee who does not satisfy the continuing education requirements for licensure renewal will be denied renewal of licensure in accordance with subrule </w:t>
      </w:r>
      <w:hyperlink r:id="rId6">
        <w:r>
          <w:rPr>
            <w:rStyle w:val="Hyperlink"/>
            <w:rFonts w:ascii="Times New Roman" w:hAnsi="Times New Roman"/>
            <w:b w:val="false"/>
            <w:i w:val="false"/>
            <w:color w:val="000000"/>
            <w:sz w:val="22"/>
          </w:rPr>
          <w:t>1047.4(8)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1047.4(10)</w:t>
      </w:r>
      <w:r>
        <w:rPr>
          <w:rFonts w:ascii="Times New Roman" w:hAnsi="Times New Roman"/>
          <w:b w:val="false"/>
          <w:i w:val="false"/>
          <w:color w:val="000000"/>
          <w:sz w:val="22"/>
        </w:rPr>
        <w:t> </w:t>
      </w:r>
      <w:r>
        <w:rPr>
          <w:rFonts w:ascii="Times New Roman" w:hAnsi="Times New Roman"/>
          <w:b w:val="false"/>
          <w:i/>
          <w:color w:val="000000"/>
          <w:sz w:val="22"/>
        </w:rPr>
        <w:t xml:space="preserve">Consent order option. </w:t>
      </w:r>
      <w:r>
        <w:rPr>
          <w:rFonts w:ascii="Times New Roman" w:hAnsi="Times New Roman"/>
          <w:b w:val="false"/>
          <w:i w:val="false"/>
          <w:color w:val="000000"/>
          <w:sz w:val="22"/>
        </w:rPr>
        <w:t xml:space="preserve">When a licensee appears to be in violation of mandatory continuing education under </w:t>
      </w:r>
      <w:hyperlink r:id="rId7">
        <w:r>
          <w:rPr>
            <w:rStyle w:val="Hyperlink"/>
            <w:rFonts w:ascii="Times New Roman" w:hAnsi="Times New Roman"/>
            <w:b w:val="false"/>
            <w:i w:val="false"/>
            <w:color w:val="000000"/>
            <w:sz w:val="22"/>
          </w:rPr>
          <w:t>481—Chapter 1051</w:t>
        </w:r>
      </w:hyperlink>
      <w:r>
        <w:rPr>
          <w:rFonts w:ascii="Times New Roman" w:hAnsi="Times New Roman"/>
          <w:b w:val="false"/>
          <w:i w:val="false"/>
          <w:color w:val="000000"/>
          <w:sz w:val="22"/>
        </w:rPr>
        <w:t xml:space="preserve">, the board may, in lieu of proceeding to a contested case hearing on the denial of renewal as provided in uniform division </w:t>
      </w:r>
      <w:hyperlink r:id="rId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offer the licensee the opportunity to sign a consent order. While the terms of a consent order will be tailored to the specific circumstances at issue, the consent order will typically impose a penalty between $50 and $250, depending on the severity of the violation, and establish deadlines for compliance, and the consent order may impose additional educational requirements upon the licensee. A licensee is free to accept or reject the offer. If the offer of settlement is accepted, the licensee will be issued a renewed certificate of licensure and, if the terms of the consent order are not complied with, will be subject to disciplinary action. If the offer of settlement is rejected, the matter will be set for hearing, if timely requested by the applicant pursuant to uniform division </w:t>
      </w:r>
      <w:hyperlink r:id="rId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1047.4(11)</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 xml:space="preserve">Licensees who are not engaged in engineering or land surveying practices that require licensure in Iowa may be granted inactive status. No inactive licensee may practice in Iowa unless otherwise exempted in Iowa Code chapter </w:t>
      </w:r>
      <w:hyperlink r:id="rId10">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8.pdf" Type="http://schemas.openxmlformats.org/officeDocument/2006/relationships/hyperlink" Id="rId4"/>
    <Relationship TargetMode="External" Target="https://www.legis.iowa.gov/docs/iac/chapter/481.506.pdf" Type="http://schemas.openxmlformats.org/officeDocument/2006/relationships/hyperlink" Id="rId5"/>
    <Relationship TargetMode="External" Target="https://www.legis.iowa.gov/docs/iac/rule/481.1047.4.pdf" Type="http://schemas.openxmlformats.org/officeDocument/2006/relationships/hyperlink" Id="rId6"/>
    <Relationship TargetMode="External" Target="https://www.legis.iowa.gov/docs/iac/chapter/481.1051.pdf" Type="http://schemas.openxmlformats.org/officeDocument/2006/relationships/hyperlink" Id="rId7"/>
    <Relationship TargetMode="External" Target="https://www.legis.iowa.gov/docs/iac/chapter/481.506.pdf" Type="http://schemas.openxmlformats.org/officeDocument/2006/relationships/hyperlink" Id="rId8"/>
    <Relationship TargetMode="External" Target="https://www.legis.iowa.gov/docs/iac/chapter/481.506.pdf" Type="http://schemas.openxmlformats.org/officeDocument/2006/relationships/hyperlink" Id="rId9"/>
    <Relationship TargetMode="External" Target="https://www.legis.iowa.gov/docs/ico/chapter/542B.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