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481—1047.3</w:t>
      </w:r>
      <w:r>
        <w:rPr>
          <w:rFonts w:ascii="Times New Roman" w:hAnsi="Times New Roman"/>
          <w:b/>
          <w:i w:val="false"/>
          <w:color w:val="000000"/>
          <w:sz w:val="22"/>
        </w:rPr>
        <w:t xml:space="preserve">(542B) </w:t>
      </w:r>
      <w:r>
        <w:rPr>
          <w:rFonts w:ascii="Times New Roman" w:hAnsi="Times New Roman"/>
          <w:b/>
          <w:i w:val="false"/>
          <w:color w:val="000000"/>
          <w:sz w:val="22"/>
        </w:rPr>
        <w:t xml:space="preserve">Comity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1047.3(1)</w:t>
      </w:r>
      <w:r>
        <w:rPr>
          <w:rFonts w:ascii="Times New Roman" w:hAnsi="Times New Roman"/>
          <w:b w:val="false"/>
          <w:i w:val="false"/>
          <w:color w:val="000000"/>
          <w:sz w:val="22"/>
        </w:rPr>
        <w:t> </w:t>
      </w:r>
      <w:r>
        <w:rPr>
          <w:rFonts w:ascii="Times New Roman" w:hAnsi="Times New Roman"/>
          <w:b w:val="false"/>
          <w:i w:val="false"/>
          <w:color w:val="000000"/>
          <w:sz w:val="22"/>
        </w:rPr>
        <w:t>The components of a comity application include the completed application form, the ethics questionnaire, references, transcripts, and verification of examinations, as appropriate. Comity applicants may submit the NCEES record in lieu of providing references, verifications, transcripts, and employment history. Since the verification of examination records must, in most cases, be sent directly from the jurisdiction where the applicant took the Fundamentals of Engineering and Principles and Practice Engineering examinations, the applicant should contact the other jurisdiction in advance of submitting the application to request this verification and make every effort to have the verification sent to the board at the time that the application is submitted. Likewise, for transcripts the applicant should contact the university in advance of submitting the application to make every effort to have the transcripts transmitted to the board at the time that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1047.3(2)</w:t>
      </w:r>
      <w:r>
        <w:rPr>
          <w:rFonts w:ascii="Times New Roman" w:hAnsi="Times New Roman"/>
          <w:b w:val="false"/>
          <w:i w:val="false"/>
          <w:color w:val="000000"/>
          <w:sz w:val="22"/>
        </w:rPr>
        <w:t> </w:t>
      </w:r>
      <w:r>
        <w:rPr>
          <w:rFonts w:ascii="Times New Roman" w:hAnsi="Times New Roman"/>
          <w:b w:val="false"/>
          <w:i w:val="false"/>
          <w:color w:val="000000"/>
          <w:sz w:val="22"/>
        </w:rPr>
        <w:t>Comity applications will be reviewed as they are completed. Comity applications will not be reviewed until all components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1047.3(3)</w:t>
      </w:r>
      <w:r>
        <w:rPr>
          <w:rFonts w:ascii="Times New Roman" w:hAnsi="Times New Roman"/>
          <w:b w:val="false"/>
          <w:i w:val="false"/>
          <w:color w:val="000000"/>
          <w:sz w:val="22"/>
        </w:rPr>
        <w:t> </w:t>
      </w:r>
      <w:r>
        <w:rPr>
          <w:rFonts w:ascii="Times New Roman" w:hAnsi="Times New Roman"/>
          <w:b w:val="false"/>
          <w:i w:val="false"/>
          <w:color w:val="000000"/>
          <w:sz w:val="22"/>
        </w:rPr>
        <w:t>Comity applicants will be notified in writing via regular mail or email regarding the results of the review of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license. The board does not issue temporary licenses, except as provided for in rule </w:t>
      </w:r>
      <w:hyperlink r:id="rId4">
        <w:r>
          <w:rPr>
            <w:rStyle w:val="Hyperlink"/>
            <w:rFonts w:ascii="Times New Roman" w:hAnsi="Times New Roman"/>
            <w:b w:val="false"/>
            <w:i w:val="false"/>
            <w:color w:val="000000"/>
            <w:sz w:val="22"/>
          </w:rPr>
          <w:t>481—1049.3</w:t>
        </w:r>
      </w:hyperlink>
      <w:r>
        <w:rPr>
          <w:rFonts w:ascii="Times New Roman" w:hAnsi="Times New Roman"/>
          <w:b w:val="false"/>
          <w:i w:val="false"/>
          <w:color w:val="000000"/>
          <w:sz w:val="22"/>
        </w:rPr>
        <w:t>(542B,272C).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49.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