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481—1047.2</w:t>
      </w:r>
      <w:r>
        <w:rPr>
          <w:rFonts w:ascii="Times New Roman" w:hAnsi="Times New Roman"/>
          <w:b/>
          <w:i w:val="false"/>
          <w:color w:val="000000"/>
          <w:sz w:val="22"/>
        </w:rPr>
        <w:t xml:space="preserve">(542B) </w:t>
      </w:r>
      <w:r>
        <w:rPr>
          <w:rFonts w:ascii="Times New Roman" w:hAnsi="Times New Roman"/>
          <w:b/>
          <w:i w:val="false"/>
          <w:color w:val="000000"/>
          <w:sz w:val="22"/>
        </w:rPr>
        <w:t xml:space="preserve">Application components and due 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1047.2(1)</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Applications for the Fundamentals of Engineering examination are submitted directly to the examination service selected by the board to administer the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1047.2(2)</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Land Surveying examination application components and due dates. </w:t>
      </w:r>
      <w:r>
        <w:rPr>
          <w:rFonts w:ascii="Times New Roman" w:hAnsi="Times New Roman"/>
          <w:b w:val="false"/>
          <w:i w:val="false"/>
          <w:color w:val="000000"/>
          <w:sz w:val="22"/>
        </w:rPr>
        <w:t xml:space="preserve">The components of this application include: the completed application form, references pursuant to </w:t>
      </w:r>
      <w:hyperlink r:id="rId4">
        <w:r>
          <w:rPr>
            <w:rStyle w:val="Hyperlink"/>
            <w:rFonts w:ascii="Times New Roman" w:hAnsi="Times New Roman"/>
            <w:b w:val="false"/>
            <w:i w:val="false"/>
            <w:color w:val="000000"/>
            <w:sz w:val="22"/>
          </w:rPr>
          <w:t>481—paragraph 1049.1(5)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transcripts. Fundamentals of Land Surveying examination applications must be submitted to the board office. Applications submitted by the first day of each month will be reviewed by the board at the next regularly scheduled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1047.2(3)</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application. </w:t>
      </w:r>
      <w:r>
        <w:rPr>
          <w:rFonts w:ascii="Times New Roman" w:hAnsi="Times New Roman"/>
          <w:b w:val="false"/>
          <w:i w:val="false"/>
          <w:color w:val="000000"/>
          <w:sz w:val="22"/>
        </w:rPr>
        <w:t xml:space="preserve">Principles and Practice of Engineering examination applications are submitted directly to the examination service selected by the board. Documentation of a qualifying degree will be required prior to approval to sit for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1047.2(4)</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Land Surveying application components and due dates. </w:t>
      </w:r>
      <w:r>
        <w:rPr>
          <w:rFonts w:ascii="Times New Roman" w:hAnsi="Times New Roman"/>
          <w:b w:val="false"/>
          <w:i w:val="false"/>
          <w:color w:val="000000"/>
          <w:sz w:val="22"/>
        </w:rPr>
        <w:t xml:space="preserve">Principles and Practice of Land Surveying examination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application file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number of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Examination applications will not be reviewed by the board until the application file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 license application. </w:t>
      </w:r>
      <w:r>
        <w:rPr>
          <w:rFonts w:ascii="Times New Roman" w:hAnsi="Times New Roman"/>
          <w:b w:val="false"/>
          <w:i w:val="false"/>
          <w:color w:val="000000"/>
          <w:sz w:val="22"/>
        </w:rPr>
        <w:t xml:space="preserve">Professional engineer license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professional engineer license application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required number of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Professional engineer license applications will not be reviewed until the application file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49.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