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481—1047.1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A person requesting to be licensed as a professional engineer or professional land surveyor shall submit a completed, standardized application form, which may be obtained electronically from the board’s Internet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1047.1(1)</w:t>
      </w:r>
      <w:r>
        <w:rPr>
          <w:rFonts w:ascii="Times New Roman" w:hAnsi="Times New Roman"/>
          <w:b w:val="false"/>
          <w:i w:val="false"/>
          <w:color w:val="000000"/>
          <w:sz w:val="22"/>
        </w:rPr>
        <w:t> </w:t>
      </w:r>
      <w:r>
        <w:rPr>
          <w:rFonts w:ascii="Times New Roman" w:hAnsi="Times New Roman"/>
          <w:b w:val="false"/>
          <w:i/>
          <w:color w:val="000000"/>
          <w:sz w:val="22"/>
        </w:rPr>
        <w:t xml:space="preserve">Application expiration. </w:t>
      </w:r>
      <w:r>
        <w:rPr>
          <w:rFonts w:ascii="Times New Roman" w:hAnsi="Times New Roman"/>
          <w:b w:val="false"/>
          <w:i w:val="false"/>
          <w:color w:val="000000"/>
          <w:sz w:val="22"/>
        </w:rPr>
        <w:t>On the examination and comity applications due date, the applications are considered current if it has been one year or less since the applications were received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1047.1(2)</w:t>
      </w:r>
      <w:r>
        <w:rPr>
          <w:rFonts w:ascii="Times New Roman" w:hAnsi="Times New Roman"/>
          <w:b w:val="false"/>
          <w:i w:val="false"/>
          <w:color w:val="000000"/>
          <w:sz w:val="22"/>
        </w:rPr>
        <w:t> </w:t>
      </w:r>
      <w:r>
        <w:rPr>
          <w:rFonts w:ascii="Times New Roman" w:hAnsi="Times New Roman"/>
          <w:b w:val="false"/>
          <w:i/>
          <w:color w:val="000000"/>
          <w:sz w:val="22"/>
        </w:rPr>
        <w:t xml:space="preserve">Academic transcripts.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United States institutions. </w:t>
      </w:r>
      <w:r>
        <w:rPr>
          <w:rFonts w:ascii="Times New Roman" w:hAnsi="Times New Roman"/>
          <w:b w:val="false"/>
          <w:i w:val="false"/>
          <w:color w:val="000000"/>
          <w:sz w:val="22"/>
        </w:rPr>
        <w:t>Completion of post-high school education shall be evidenced by the board’s receipt of an applicant’s transcripts directly from the office of the registrar of each institution conferring a qualifying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Institutions outside the United States. </w:t>
      </w:r>
      <w:r>
        <w:rPr>
          <w:rFonts w:ascii="Times New Roman" w:hAnsi="Times New Roman"/>
          <w:b w:val="false"/>
          <w:i w:val="false"/>
          <w:color w:val="000000"/>
          <w:sz w:val="22"/>
        </w:rPr>
        <w:t>Transcripts from institutions located outside the boundaries of the United States of America shall be sent directly from the institution to an evaluation service to be evaluated for authenticity and substantial equivalency with Accreditation Board for Engineering and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(ABET), or Engineering Accreditation Commission (EAC) accredited engineering programs. To be readily acceptable, such evaluations shall be from the National Council of Examiners for Engineering and Surveying (NCEES). However, the board may accept evaluations from other recognized foreign credential evaluators satisfactory to the board. The expense of the evaluation is the responsibility of the applicant. Each evaluation shall be sent directly to the board from the evaluation service and include a copy of the transcript in the form sent to the evaluation service directly from the educational institution. Each evaluation must address both whether the transcript is authentic and whether the engineering program is equivalent to those accredited by ABET or EAC.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