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481—1046.2</w:t>
      </w:r>
      <w:r>
        <w:rPr>
          <w:rFonts w:ascii="Times New Roman" w:hAnsi="Times New Roman"/>
          <w:b/>
          <w:i w:val="false"/>
          <w:color w:val="000000"/>
          <w:sz w:val="22"/>
        </w:rPr>
        <w:t xml:space="preserve">(542B) </w:t>
      </w:r>
      <w:r>
        <w:rPr>
          <w:rFonts w:ascii="Times New Roman" w:hAnsi="Times New Roman"/>
          <w:b/>
          <w:i w:val="false"/>
          <w:color w:val="000000"/>
          <w:sz w:val="22"/>
        </w:rPr>
        <w:t xml:space="preserve">Nonrefundable fees. </w:t>
      </w:r>
      <w:r>
        <w:rPr>
          <w:rFonts w:ascii="Times New Roman" w:hAnsi="Times New Roman"/>
          <w:b w:val="false"/>
          <w:i w:val="false"/>
          <w:color w:val="000000"/>
          <w:sz w:val="22"/>
        </w:rPr>
        <w:t>Application fees submitted with applications for the Fundamentals of Engineering examination, the Fundamentals of Land Surveying examination, the Principles and Practice of Engineering examination, the Principles and Practice of Land Surveying examination, comity licensure, or renewal of licensure are not refundable for any reason.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