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481—1046.1</w:t>
      </w:r>
      <w:r>
        <w:rPr>
          <w:rFonts w:ascii="Times New Roman" w:hAnsi="Times New Roman"/>
          <w:b/>
          <w:i w:val="false"/>
          <w:color w:val="000000"/>
          <w:sz w:val="22"/>
        </w:rPr>
        <w:t xml:space="preserve">(542B)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Fees are fixed in such an amount as will defray the expense of administering board responsibilities. Fees are charged in accordance with the following table: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760"/>
        <w:gridCol w:w="3840"/>
      </w:tblGrid>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i w:val="false"/>
                <w:color w:val="000000"/>
                <w:sz w:val="14"/>
              </w:rPr>
              <w:t>Type of fee</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i w:val="false"/>
                <w:color w:val="000000"/>
                <w:sz w:val="14"/>
              </w:rPr>
              <w:t>Amount</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Renewal</w:t>
            </w:r>
          </w:p>
        </w:tc>
        <w:tc>
          <w:tcPr>
            <w:tcW w:w="38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376"/>
              <w:jc w:val="left"/>
            </w:pPr>
            <w:r>
              <w:rPr>
                <w:rFonts w:ascii="Times New Roman" w:hAnsi="Times New Roman"/>
                <w:b w:val="false"/>
                <w:i w:val="false"/>
                <w:color w:val="000000"/>
                <w:sz w:val="14"/>
              </w:rPr>
              <w:t>Active license renewal</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$100</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376"/>
              <w:jc w:val="left"/>
            </w:pPr>
            <w:r>
              <w:rPr>
                <w:rFonts w:ascii="Times New Roman" w:hAnsi="Times New Roman"/>
                <w:b w:val="false"/>
                <w:i w:val="false"/>
                <w:color w:val="000000"/>
                <w:sz w:val="14"/>
              </w:rPr>
              <w:t>Inactive license renewal</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$40</w:t>
            </w:r>
          </w:p>
        </w:tc>
      </w:tr>
      <w:tr>
        <w:trPr>
          <w:trHeight w:val="510"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160"/>
              <w:jc w:val="left"/>
            </w:pPr>
            <w:r>
              <w:rPr>
                <w:rFonts w:ascii="Times New Roman" w:hAnsi="Times New Roman"/>
                <w:b w:val="false"/>
                <w:i w:val="false"/>
                <w:color w:val="000000"/>
                <w:sz w:val="14"/>
              </w:rPr>
              <w:t>Reinstatement of lapsed license</w:t>
            </w:r>
          </w:p>
          <w:p>
            <w:pPr>
              <w:spacing w:before="0" w:after="0" w:line="264"/>
              <w:ind w:left="160"/>
              <w:jc w:val="left"/>
            </w:pPr>
            <w:r>
              <w:rPr>
                <w:rFonts w:ascii="Times New Roman" w:hAnsi="Times New Roman"/>
                <w:b w:val="false"/>
                <w:i w:val="false"/>
                <w:color w:val="000000"/>
                <w:sz w:val="14"/>
              </w:rPr>
              <w:t>(In addition to the reinstatement fee, the applicant for reinstatement must also pay the appropriate prorated reinstated license fee below.)</w:t>
            </w:r>
          </w:p>
        </w:tc>
        <w:tc>
          <w:tcPr>
            <w:tcW w:w="384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Reinstatement of inactive to active license</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$60</w:t>
            </w:r>
          </w:p>
        </w:tc>
      </w:tr>
      <w:tr>
        <w:trPr>
          <w:trHeight w:val="510"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New or reinstated license</w:t>
            </w:r>
          </w:p>
          <w:p>
            <w:pPr>
              <w:spacing w:before="0" w:after="0" w:line="264"/>
              <w:ind w:left="160"/>
              <w:jc w:val="left"/>
            </w:pPr>
            <w:r>
              <w:rPr>
                <w:rFonts w:ascii="Times New Roman" w:hAnsi="Times New Roman"/>
                <w:b w:val="false"/>
                <w:i w:val="false"/>
                <w:color w:val="000000"/>
                <w:sz w:val="14"/>
              </w:rPr>
              <w:t>(In addition to the appropriate prorated reinstated license fee, the applicant for reinstatement must also pay the reinstatement fee above.)</w:t>
            </w:r>
          </w:p>
        </w:tc>
        <w:tc>
          <w:tcPr>
            <w:tcW w:w="384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w:t>
            </w:r>
            <w:r>
              <w:br/>
            </w:r>
            <w:r>
              <w:rPr>
                <w:rFonts w:ascii="Times New Roman" w:hAnsi="Times New Roman"/>
                <w:b w:val="false"/>
                <w:i w:val="false"/>
                <w:color w:val="000000"/>
                <w:sz w:val="14"/>
              </w:rPr>
              <w:t>Prorated at six-month intervals</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Application for examination</w:t>
            </w:r>
          </w:p>
        </w:tc>
        <w:tc>
          <w:tcPr>
            <w:tcW w:w="38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376"/>
              <w:jc w:val="left"/>
            </w:pPr>
            <w:r>
              <w:rPr>
                <w:rFonts w:ascii="Times New Roman" w:hAnsi="Times New Roman"/>
                <w:b w:val="false"/>
                <w:i w:val="false"/>
                <w:color w:val="000000"/>
                <w:sz w:val="14"/>
              </w:rPr>
              <w:t>Principles and Practice of Land Surveying</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$100</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Examinations</w:t>
            </w:r>
          </w:p>
        </w:tc>
        <w:tc>
          <w:tcPr>
            <w:tcW w:w="38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660"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376"/>
              <w:jc w:val="left"/>
            </w:pPr>
            <w:r>
              <w:rPr>
                <w:rFonts w:ascii="Times New Roman" w:hAnsi="Times New Roman"/>
                <w:b w:val="false"/>
                <w:i w:val="false"/>
                <w:color w:val="000000"/>
                <w:sz w:val="14"/>
              </w:rPr>
              <w:t>Fees for National Council of Examiners for Engineering and Surveying (NCEES) examinations are paid directly to the examination service at the rate established by contract based upon cost of the examination materials and processing expenses.</w:t>
            </w:r>
          </w:p>
        </w:tc>
        <w:tc>
          <w:tcPr>
            <w:tcW w:w="384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Variable</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376"/>
              <w:jc w:val="left"/>
            </w:pPr>
            <w:r>
              <w:rPr>
                <w:rFonts w:ascii="Times New Roman" w:hAnsi="Times New Roman"/>
                <w:b w:val="false"/>
                <w:i w:val="false"/>
                <w:color w:val="000000"/>
                <w:sz w:val="14"/>
              </w:rPr>
              <w:t>Iowa State Specific Land Surveying Examination</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$30</w:t>
            </w:r>
          </w:p>
        </w:tc>
      </w:tr>
      <w:tr>
        <w:trPr>
          <w:trHeight w:val="360"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Application for licensure by comity or verification as a professional engineer or professional land surveyor</w:t>
            </w:r>
          </w:p>
        </w:tc>
        <w:tc>
          <w:tcPr>
            <w:tcW w:w="384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Certificates</w:t>
            </w:r>
          </w:p>
        </w:tc>
        <w:tc>
          <w:tcPr>
            <w:tcW w:w="38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376"/>
              <w:jc w:val="left"/>
            </w:pPr>
            <w:r>
              <w:rPr>
                <w:rFonts w:ascii="Times New Roman" w:hAnsi="Times New Roman"/>
                <w:b w:val="false"/>
                <w:i w:val="false"/>
                <w:color w:val="000000"/>
                <w:sz w:val="14"/>
              </w:rPr>
              <w:t>Initial professional engineer or professional land surveyor certificate</w:t>
            </w:r>
          </w:p>
        </w:tc>
        <w:tc>
          <w:tcPr>
            <w:tcW w:w="384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376"/>
              <w:jc w:val="left"/>
            </w:pPr>
            <w:r>
              <w:rPr>
                <w:rFonts w:ascii="Times New Roman" w:hAnsi="Times New Roman"/>
                <w:b w:val="false"/>
                <w:i w:val="false"/>
                <w:color w:val="000000"/>
                <w:sz w:val="14"/>
              </w:rPr>
              <w:t>Additional or duplicate certificate</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376"/>
              <w:jc w:val="left"/>
            </w:pPr>
            <w:r>
              <w:rPr>
                <w:rFonts w:ascii="Times New Roman" w:hAnsi="Times New Roman"/>
                <w:b w:val="false"/>
                <w:i w:val="false"/>
                <w:color w:val="000000"/>
                <w:sz w:val="14"/>
              </w:rPr>
              <w:t>Engineer or land surveyor intern certificate</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No charge</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Check returned for insufficient funds</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Verification of records for lapsed licensees</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 per verification</w:t>
            </w:r>
          </w:p>
        </w:tc>
      </w:tr>
      <w:tr>
        <w:trPr>
          <w:trHeight w:val="360" w:hRule="atLeast"/>
        </w:trPr>
        <w:tc>
          <w:tcPr>
            <w:tcW w:w="5760" w:type="dxa"/>
            <w:tcBorders>
              <w:right w:val="single" w:color="000000" w:sz="8"/>
            </w:tcBorders>
            <w:tcMar>
              <w:top w:w="30" w:type="dxa"/>
              <w:left w:w="30" w:type="dxa"/>
              <w:bottom w:w="15" w:type="dxa"/>
              <w:right w:w="30" w:type="dxa"/>
            </w:tcMar>
            <w:vAlign w:val="center"/>
          </w:tcPr>
          <w:p>
            <w:pPr>
              <w:spacing w:before="0" w:after="0" w:line="264"/>
              <w:ind w:left="160"/>
              <w:jc w:val="left"/>
            </w:pPr>
            <w:r>
              <w:rPr>
                <w:rFonts w:ascii="Times New Roman" w:hAnsi="Times New Roman"/>
                <w:b w:val="false"/>
                <w:i w:val="false"/>
                <w:color w:val="000000"/>
                <w:sz w:val="14"/>
              </w:rPr>
              <w:t>Late renewal fee (for renewals completed after December 31 and before January 31)</w:t>
            </w:r>
          </w:p>
        </w:tc>
        <w:tc>
          <w:tcPr>
            <w:tcW w:w="384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