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481—1045.5</w:t>
      </w:r>
      <w:r>
        <w:rPr>
          <w:rFonts w:ascii="Times New Roman" w:hAnsi="Times New Roman"/>
          <w:b/>
          <w:i w:val="false"/>
          <w:color w:val="000000"/>
          <w:sz w:val="22"/>
        </w:rPr>
        <w:t xml:space="preserve">(542B) </w:t>
      </w:r>
      <w:r>
        <w:rPr>
          <w:rFonts w:ascii="Times New Roman" w:hAnsi="Times New Roman"/>
          <w:b/>
          <w:i w:val="false"/>
          <w:color w:val="000000"/>
          <w:sz w:val="22"/>
        </w:rPr>
        <w:t xml:space="preserve">Licensed professional engineers and building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1045.5(1)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rule is intended to provide guidance to licensed professional engineers, other design professionals, unlicensed persons engaged in various aspects of building construction, building officials, owners, and others on when the services of a licensed professional engineer are required or not in connection with new building construction and alterations to existing structures.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1045.5(2)</w:t>
      </w:r>
      <w:r>
        <w:rPr>
          <w:rFonts w:ascii="Times New Roman" w:hAnsi="Times New Roman"/>
          <w:b w:val="false"/>
          <w:i w:val="false"/>
          <w:color w:val="000000"/>
          <w:sz w:val="22"/>
        </w:rPr>
        <w:t> </w:t>
      </w:r>
      <w:r>
        <w:rPr>
          <w:rFonts w:ascii="Times New Roman" w:hAnsi="Times New Roman"/>
          <w:b w:val="false"/>
          <w:i/>
          <w:color w:val="000000"/>
          <w:sz w:val="22"/>
        </w:rPr>
        <w:t xml:space="preserve">General guidelines. </w:t>
      </w:r>
      <w:r>
        <w:rPr>
          <w:rFonts w:ascii="Times New Roman" w:hAnsi="Times New Roman"/>
          <w:b w:val="false"/>
          <w:i w:val="false"/>
          <w:color w:val="000000"/>
          <w:sz w:val="22"/>
        </w:rPr>
        <w:t xml:space="preserve">Given the wide range of buildings covered by this rule and the unique issues that may arise with respect to specific buildings, it is not possible to establish definitive criteria that will universally resolve when building construction or alterations will or will not implicate the practice of professional engineering, as defined in Iowa Code sections </w:t>
      </w:r>
      <w:hyperlink r:id="rId4">
        <w:r>
          <w:rPr>
            <w:rStyle w:val="Hyperlink"/>
            <w:rFonts w:ascii="Times New Roman" w:hAnsi="Times New Roman"/>
            <w:b w:val="false"/>
            <w:i w:val="false"/>
            <w:color w:val="000000"/>
            <w:sz w:val="22"/>
          </w:rPr>
          <w:t>542B.2(8)</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542B.27(1)</w:t>
        </w:r>
      </w:hyperlink>
      <w:r>
        <w:rPr>
          <w:rFonts w:ascii="Times New Roman" w:hAnsi="Times New Roman"/>
          <w:b w:val="false"/>
          <w:i w:val="false"/>
          <w:color w:val="000000"/>
          <w:sz w:val="22"/>
        </w:rPr>
        <w:t>. For example, while the construction of a single-family residence would not generally necessitate the services of a licensed professional engineer, unique or unconventional features of a particular site or design may necessitate complex structural calculations or other services that fall within the definition of professional engineering. As a result, this rule should be interpreted as providing only general guidelines on when a licensed professional engineer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1045.5(3)</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The board will consider the guidelines provided in this rule when enforcing Iowa Code chapter </w:t>
      </w:r>
      <w:hyperlink r:id="rId6">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including when determining whether an unlicensed person has engaged in the practice of professional engineering. This rule is not intended to constrain building officials or other public officials in their enforcement of other laws, rules, regulations or ordinances. A building code official, for example, may require that certain documents be prepared by a licensed professional engineer or that certain construction inspections be performed by a licensed professional engineer whether or not the guidelines in this rule would so require. This rule only addresses the practice of professional engineering and does not address the practice of architecture. Similar guidelines with respect to the practice of architecture may be found at </w:t>
      </w:r>
      <w:hyperlink r:id="rId7">
        <w:r>
          <w:rPr>
            <w:rStyle w:val="Hyperlink"/>
            <w:rFonts w:ascii="Times New Roman" w:hAnsi="Times New Roman"/>
            <w:b w:val="false"/>
            <w:i w:val="false"/>
            <w:color w:val="000000"/>
            <w:sz w:val="22"/>
          </w:rPr>
          <w:t>481—Chapter 1065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1045.5(4)</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definitions set forth in rule </w:t>
      </w:r>
      <w:hyperlink r:id="rId8">
        <w:r>
          <w:rPr>
            <w:rStyle w:val="Hyperlink"/>
            <w:rFonts w:ascii="Times New Roman" w:hAnsi="Times New Roman"/>
            <w:b w:val="false"/>
            <w:i w:val="false"/>
            <w:color w:val="000000"/>
            <w:sz w:val="22"/>
          </w:rPr>
          <w:t>481—1065.1</w:t>
        </w:r>
      </w:hyperlink>
      <w:r>
        <w:rPr>
          <w:rFonts w:ascii="Times New Roman" w:hAnsi="Times New Roman"/>
          <w:b w:val="false"/>
          <w:i w:val="false"/>
          <w:color w:val="000000"/>
          <w:sz w:val="22"/>
        </w:rPr>
        <w:t>(544A) apply to this rule.</w:t>
      </w:r>
    </w:p>
    <w:p>
      <w:pPr>
        <w:spacing w:before="0" w:after="0"/>
        <w:ind w:left="120"/>
        <w:jc w:val="both"/>
      </w:pPr>
      <w:r>
        <w:rPr>
          <w:rFonts w:ascii="Times New Roman" w:hAnsi="Times New Roman"/>
          <w:b/>
          <w:i w:val="false"/>
          <w:color w:val="000000"/>
          <w:sz w:val="22"/>
        </w:rPr>
        <w:t>1045.5(5)</w:t>
      </w:r>
      <w:r>
        <w:rPr>
          <w:rFonts w:ascii="Times New Roman" w:hAnsi="Times New Roman"/>
          <w:b w:val="false"/>
          <w:i w:val="false"/>
          <w:color w:val="000000"/>
          <w:sz w:val="22"/>
        </w:rPr>
        <w:t> </w:t>
      </w:r>
      <w:r>
        <w:rPr>
          <w:rFonts w:ascii="Times New Roman" w:hAnsi="Times New Roman"/>
          <w:b w:val="false"/>
          <w:i/>
          <w:color w:val="000000"/>
          <w:sz w:val="22"/>
        </w:rPr>
        <w:t xml:space="preserve">Guidelines for new construction. </w:t>
      </w:r>
      <w:r>
        <w:rPr>
          <w:rFonts w:ascii="Times New Roman" w:hAnsi="Times New Roman"/>
          <w:b w:val="false"/>
          <w:i w:val="false"/>
          <w:color w:val="000000"/>
          <w:sz w:val="22"/>
        </w:rPr>
        <w:t>The following matrix describes by building type and use when the services of a licensed professional engineer are required in connection with new building construction: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304"/>
        <w:gridCol w:w="4800"/>
        <w:gridCol w:w="1248"/>
        <w:gridCol w:w="1248"/>
      </w:tblGrid>
      <w:tr>
        <w:trPr>
          <w:trHeight w:val="360" w:hRule="atLeast"/>
        </w:trPr>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BUILDINGS</w:t>
            </w:r>
            <w:r>
              <w:br/>
            </w:r>
            <w:r>
              <w:rPr>
                <w:rFonts w:ascii="Times New Roman" w:hAnsi="Times New Roman"/>
                <w:b/>
                <w:i w:val="false"/>
                <w:color w:val="000000"/>
                <w:sz w:val="14"/>
              </w:rPr>
              <w:t>NEW CONSTRUCTION</w:t>
            </w:r>
          </w:p>
        </w:tc>
      </w:tr>
      <w:tr>
        <w:trPr>
          <w:trHeight w:val="510" w:hRule="atLeast"/>
        </w:trPr>
        <w:tc>
          <w:tcPr>
            <w:tcW w:w="230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Building Use Type</w:t>
            </w:r>
          </w:p>
        </w:tc>
        <w:tc>
          <w:tcPr>
            <w:tcW w:w="4800"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Description</w:t>
            </w:r>
          </w:p>
        </w:tc>
        <w:tc>
          <w:tcPr>
            <w:tcW w:w="1248"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Engineer Required</w:t>
            </w:r>
          </w:p>
        </w:tc>
        <w:tc>
          <w:tcPr>
            <w:tcW w:w="1248"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Engineer May Not Be Required</w:t>
            </w:r>
          </w:p>
        </w:tc>
      </w:tr>
      <w:tr>
        <w:trPr>
          <w:trHeight w:val="360" w:hRule="atLeast"/>
        </w:trPr>
        <w:tc>
          <w:tcPr>
            <w:tcW w:w="2304"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Agricultural Use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Facilities for private use only and individually owned and operated facilities including grain elevators and feed mills</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Corporate-owned facilities or publicly owned facilities including grain elevators and feed mills</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2304"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Churches and accessory buildings whether attached or separate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up to a maximum of 2,000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Any number of stories in height, greater than 2,000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2304"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Commercial Use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up to a maximum of 10,000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greater than 10,000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Two stories in height, up to a maximum of 6,000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Two stories in height, greater than 6,000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2304"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Detached Residential Use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two or three stories in height, containing 12 or fewer family dwelling units</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12 family dwelling units</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three stories in height</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Outbuildings in connection with detached residential buildings</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Educational Use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Governmental Use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When the occupancy is of another building use type listed herein, those provisions shall apply</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Industrial Use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Institutional Use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Light Industrial Use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Places of assembly</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2304"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Warehouse Use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up to a maximum of 10,000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greater than 10,000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one story in height</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2304" w:type="dxa"/>
            <w:vMerge w:val="restart"/>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Factory-Built Buildings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up to a maximum of 20,000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greater than 20,000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480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20,000 square feet in gross floor area</w:t>
            </w:r>
          </w:p>
        </w:tc>
        <w:tc>
          <w:tcPr>
            <w:tcW w:w="1248"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i w:val="false"/>
          <w:color w:val="000000"/>
          <w:sz w:val="22"/>
        </w:rPr>
        <w:t>1045.5(6)</w:t>
      </w:r>
      <w:r>
        <w:rPr>
          <w:rFonts w:ascii="Times New Roman" w:hAnsi="Times New Roman"/>
          <w:b w:val="false"/>
          <w:i w:val="false"/>
          <w:color w:val="000000"/>
          <w:sz w:val="22"/>
        </w:rPr>
        <w:t> </w:t>
      </w:r>
      <w:r>
        <w:rPr>
          <w:rFonts w:ascii="Times New Roman" w:hAnsi="Times New Roman"/>
          <w:b w:val="false"/>
          <w:i/>
          <w:color w:val="000000"/>
          <w:sz w:val="22"/>
        </w:rPr>
        <w:t xml:space="preserve">Guidelines for alterations to existing buildings. </w:t>
      </w:r>
      <w:r>
        <w:rPr>
          <w:rFonts w:ascii="Times New Roman" w:hAnsi="Times New Roman"/>
          <w:b w:val="false"/>
          <w:i w:val="false"/>
          <w:color w:val="000000"/>
          <w:sz w:val="22"/>
        </w:rPr>
        <w:t>The following matrix describes by alteration type when the services of a licensed professional engineer are required in connection with alterations to existing buildings: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17"/>
        <w:gridCol w:w="521"/>
        <w:gridCol w:w="1261"/>
        <w:gridCol w:w="4107"/>
        <w:gridCol w:w="1152"/>
        <w:gridCol w:w="1152"/>
      </w:tblGrid>
      <w:tr>
        <w:trPr>
          <w:trHeight w:val="360" w:hRule="atLeast"/>
        </w:trPr>
        <w:tc>
          <w:tcPr>
            <w:tcW w:w="0" w:type="auto"/>
            <w:gridSpan w:val="6"/>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ALTERATIONS</w:t>
            </w:r>
            <w:r>
              <w:br/>
            </w:r>
            <w:r>
              <w:rPr>
                <w:rFonts w:ascii="Times New Roman" w:hAnsi="Times New Roman"/>
                <w:b/>
                <w:i w:val="false"/>
                <w:color w:val="000000"/>
                <w:sz w:val="14"/>
              </w:rPr>
              <w:t>TO EXISTING BUILDINGS</w:t>
            </w:r>
          </w:p>
        </w:tc>
      </w:tr>
      <w:tr>
        <w:trPr>
          <w:trHeight w:val="510" w:hRule="atLeast"/>
        </w:trPr>
        <w:tc>
          <w:tcPr>
            <w:tcW w:w="151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Alteration Type</w:t>
            </w:r>
          </w:p>
        </w:tc>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Description</w:t>
            </w:r>
          </w:p>
        </w:tc>
        <w:tc>
          <w:tcPr>
            <w:tcW w:w="115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Engineer Required</w:t>
            </w:r>
          </w:p>
        </w:tc>
        <w:tc>
          <w:tcPr>
            <w:tcW w:w="1152"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Engineer May Not Be Required</w:t>
            </w:r>
          </w:p>
        </w:tc>
      </w:tr>
      <w:tr>
        <w:trPr>
          <w:trHeight w:val="825" w:hRule="atLeast"/>
        </w:trPr>
        <w:tc>
          <w:tcPr>
            <w:tcW w:w="151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Structural alterations to exempt buildings under Iowa Code section </w:t>
            </w:r>
            <w:hyperlink r:id="rId9">
              <w:r>
                <w:rPr>
                  <w:rStyle w:val="Hyperlink"/>
                  <w:rFonts w:ascii="Times New Roman" w:hAnsi="Times New Roman"/>
                  <w:b w:val="false"/>
                  <w:i w:val="false"/>
                  <w:color w:val="000000"/>
                  <w:sz w:val="14"/>
                </w:rPr>
                <w:t>544A.18</w:t>
              </w:r>
            </w:hyperlink>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Modifications that change the structural members, means of egress, handicap accessible path, fire resistivity or other life safety concerns</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660" w:hRule="atLeast"/>
        </w:trPr>
        <w:tc>
          <w:tcPr>
            <w:tcW w:w="151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Structural alterations to buildings that are not exempt</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Modifications that change the structural members, means of egress, handicap accessible path, fire resistivity or other life safety concerns</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1517"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Nonstructural alteration</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That does not modify means of egress, handicap accessible path, fire resistivity or other life safety concerns</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X </w:t>
            </w:r>
          </w:p>
        </w:tc>
      </w:tr>
      <w:tr>
        <w:trPr>
          <w:trHeight w:val="195" w:hRule="atLeast"/>
        </w:trPr>
        <w:tc>
          <w:tcPr>
            <w:tcW w:w="151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That maintains the previous type of use</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X </w:t>
            </w:r>
          </w:p>
        </w:tc>
      </w:tr>
      <w:tr>
        <w:trPr>
          <w:trHeight w:val="195" w:hRule="atLeast"/>
        </w:trPr>
        <w:tc>
          <w:tcPr>
            <w:tcW w:w="1517"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Nonstructural alteration that changes the use of the building from any other use to:</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place of assembly of people or public gathering</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Governmental use</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Educational use</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Hazardous use</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place of residence exempted</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one, two or three stories in height and contains not more than 12 family dwelling units</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0" w:type="auto"/>
            <w:vMerge/>
            <w:tcBorders>
              <w:top w:val="nil"/>
              <w:bottom w:val="single" w:color="000000" w:sz="8"/>
              <w:right w:val="single" w:color="000000" w:sz="8"/>
            </w:tcBorders>
          </w:tcPr>
          <w:p/>
        </w:tc>
        <w:tc>
          <w:tcPr>
            <w:tcW w:w="0" w:type="auto"/>
            <w:gridSpan w:val="2"/>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place of residence not exempted otherwise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more than three stories in height</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0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containing more than 12 family dwelling units</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1517"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Nonstructural alterations that change the use of the building from industrial or warehouse to:</w:t>
            </w:r>
          </w:p>
        </w:tc>
        <w:tc>
          <w:tcPr>
            <w:tcW w:w="0" w:type="auto"/>
            <w:gridSpan w:val="2"/>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Commercial or office use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one story in height and not greater than a maximum of 10,000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one story in height and greater than 10,000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two stories in height and not greater than a maximum of 6,000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two stories in height and greater than 6,000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more than two stories in height</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42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greater than 10,000 square feet of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1517"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Nonstructural alterations to:</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Agricultural Use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Including grain elevators and feed mills</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0" w:type="auto"/>
            <w:gridSpan w:val="2"/>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Churches and Accessory Building Uses</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up to a maximum of 2,000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Any number of stories in height, greater than 2,000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0" w:type="auto"/>
            <w:gridSpan w:val="2"/>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Commercial Use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up to a maximum of 10,000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greater than 10,000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Two stories in height, up to a maximum of 6,000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Two stories in height, greater than 6,000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0" w:type="auto"/>
            <w:gridSpan w:val="2"/>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Detached Residential Buildings</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two or three stories in height, containing 12 or fewer family dwelling units</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12 family dwelling units</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three stories in height</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Outbuildings in connection with detached residential buildings</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Educational Use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Governmental Use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When the occupancy is of another building use type listed herein, those provisions shall apply</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Industrial Use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Institutional Use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Light Industrial Use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Places of Assembly</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0" w:type="auto"/>
            <w:gridSpan w:val="2"/>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Warehouse Use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up to a maximum of 10,000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greater than 10,000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one story in height</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1517"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Factory-Built Buildings</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up to a maximum of 20,000 square feet of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greater than 20,000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20,000 square feet in gross floor area</w:t>
            </w:r>
          </w:p>
        </w:tc>
        <w:tc>
          <w:tcPr>
            <w:tcW w:w="1152"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1045.5(7)</w:t>
      </w:r>
      <w:r>
        <w:rPr>
          <w:rFonts w:ascii="Times New Roman" w:hAnsi="Times New Roman"/>
          <w:b w:val="false"/>
          <w:i w:val="false"/>
          <w:color w:val="000000"/>
          <w:sz w:val="22"/>
        </w:rPr>
        <w:t> </w:t>
      </w:r>
      <w:r>
        <w:rPr>
          <w:rFonts w:ascii="Times New Roman" w:hAnsi="Times New Roman"/>
          <w:b w:val="false"/>
          <w:i/>
          <w:color w:val="000000"/>
          <w:sz w:val="22"/>
        </w:rPr>
        <w:t xml:space="preserve">Architectural exceptions do not apply. </w:t>
      </w:r>
      <w:r>
        <w:rPr>
          <w:rFonts w:ascii="Times New Roman" w:hAnsi="Times New Roman"/>
          <w:b w:val="false"/>
          <w:i w:val="false"/>
          <w:color w:val="000000"/>
          <w:sz w:val="22"/>
        </w:rPr>
        <w:t xml:space="preserve">The statutory exemptions in Iowa Code section </w:t>
      </w:r>
      <w:hyperlink r:id="rId10">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do not apply to the practice of engineering. The construction of a building that falls within an exception in Iowa Code section </w:t>
      </w:r>
      <w:hyperlink r:id="rId11">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may necessitate the services of an engineer if, for example: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are structural elements that do not fall within building code definitions of conventional light frame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use of certain structural materials, members or components requires special inspections by engineers,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HVAC, plumbing or electrical systems exceed certain building code standards. However, the matrix guidelines in this rule are generally compatible with the exceptions in Iowa Code section </w:t>
      </w:r>
      <w:hyperlink r:id="rId12">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because the construction of buildings that fall outside the exceptions in Iowa Code section </w:t>
      </w:r>
      <w:hyperlink r:id="rId13">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generally does implicate the practice of professional engineering in such disciplines as structural, electrical or mechanical engineering.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B.2.pdf" Type="http://schemas.openxmlformats.org/officeDocument/2006/relationships/hyperlink" Id="rId4"/>
    <Relationship TargetMode="External" Target="https://www.legis.iowa.gov/docs/ico/chapter/542B.27.pdf" Type="http://schemas.openxmlformats.org/officeDocument/2006/relationships/hyperlink" Id="rId5"/>
    <Relationship TargetMode="External" Target="https://www.legis.iowa.gov/docs/ico/chapter/542B.pdf" Type="http://schemas.openxmlformats.org/officeDocument/2006/relationships/hyperlink" Id="rId6"/>
    <Relationship TargetMode="External" Target="https://www.legis.iowa.gov/docs/iac/chapter/481.1065.pdf" Type="http://schemas.openxmlformats.org/officeDocument/2006/relationships/hyperlink" Id="rId7"/>
    <Relationship TargetMode="External" Target="https://www.legis.iowa.gov/docs/iac/rule/481.1065.1.pdf" Type="http://schemas.openxmlformats.org/officeDocument/2006/relationships/hyperlink" Id="rId8"/>
    <Relationship TargetMode="External" Target="https://www.legis.iowa.gov/docs/ico/chapter/544A.18.pdf" Type="http://schemas.openxmlformats.org/officeDocument/2006/relationships/hyperlink" Id="rId9"/>
    <Relationship TargetMode="External" Target="https://www.legis.iowa.gov/docs/ico/chapter/544A.18.pdf" Type="http://schemas.openxmlformats.org/officeDocument/2006/relationships/hyperlink" Id="rId10"/>
    <Relationship TargetMode="External" Target="https://www.legis.iowa.gov/docs/ico/chapter/544A.18.pdf" Type="http://schemas.openxmlformats.org/officeDocument/2006/relationships/hyperlink" Id="rId11"/>
    <Relationship TargetMode="External" Target="https://www.legis.iowa.gov/docs/ico/chapter/544A.18.pdf" Type="http://schemas.openxmlformats.org/officeDocument/2006/relationships/hyperlink" Id="rId12"/>
    <Relationship TargetMode="External" Target="https://www.legis.iowa.gov/docs/ico/chapter/544A.18.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