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481—1045.4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1045.4(1)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board’s rules regarding waivers can be found in the uniform rules for the division of professional licensing and regulation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1045.4(2)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Interim rulings. The board chairperson, or vice chairperson if the chairperson is not available, may rule on a petition for waiver when it would not be timely to wait for the next regularly scheduled board meeting for a ruling from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executive secretary shall, upon receipt of a petition meeting all applicable criteria established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present the request to the board chairperson or vice chairperson along with all pertinent information regarding established precedent for granting or denying such requests.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chairperson or vice chairperson shall reserve the right to hold an electronic meeting of the board when: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Board precedent does not clearly resolve the request and the input of the board is deemed required;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practical result of waiting until the next regularly scheduled meeting would be a denial of the request due to timing issues.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waiver report will be placed on the agenda of the next regularly scheduled board meeting and recorded in the minutes of the meeting.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on interim rulings does not apply if the waiver was filed in a contested case.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7664C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Mode="External" Target="https://www.legis.iowa.gov/docs/iac/chapter/7.250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