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481—1045.2</w:t>
      </w:r>
      <w:r>
        <w:rPr>
          <w:rFonts w:ascii="Times New Roman" w:hAnsi="Times New Roman"/>
          <w:b/>
          <w:i w:val="false"/>
          <w:color w:val="000000"/>
          <w:sz w:val="22"/>
        </w:rPr>
        <w:t xml:space="preserve">(542B)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w:t>
      </w:r>
      <w:r>
        <w:rPr>
          <w:rFonts w:ascii="Times New Roman" w:hAnsi="Times New Roman"/>
          <w:b w:val="false"/>
          <w:i w:val="false"/>
          <w:color w:val="000000"/>
          <w:sz w:val="22"/>
        </w:rPr>
        <w:t> </w:t>
      </w:r>
      <w:r>
        <w:rPr>
          <w:rFonts w:ascii="Times New Roman" w:hAnsi="Times New Roman"/>
          <w:b w:val="false"/>
          <w:i w:val="false"/>
          <w:color w:val="000000"/>
          <w:sz w:val="22"/>
        </w:rPr>
        <w:t>means a program accredited by the Accreditation Board for Engineering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the Canadian Engineering Accreditation Board (CEAB) or another accrediting body accepted by the National Council of Examiners for Engineering and Surveying (NCEES).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engineering and land surveying examining board provided by Iowa Code chapter </w:t>
      </w:r>
      <w:hyperlink r:id="rId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 coordination”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documents”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survey,”</w:t>
      </w:r>
      <w:r>
        <w:rPr>
          <w:rFonts w:ascii="Times New Roman" w:hAnsi="Times New Roman"/>
          <w:b w:val="false"/>
          <w:i w:val="false"/>
          <w:color w:val="000000"/>
          <w:sz w:val="22"/>
        </w:rPr>
        <w:t> </w:t>
      </w:r>
      <w:r>
        <w:rPr>
          <w:rFonts w:ascii="Times New Roman" w:hAnsi="Times New Roman"/>
          <w:b w:val="false"/>
          <w:i w:val="false"/>
          <w:color w:val="000000"/>
          <w:sz w:val="22"/>
        </w:rPr>
        <w:t>as used in the definition of the practice of engineering, includes all survey activities required to support the sound conception, planning, design, construction, maintenance, and operation of engineered projects, but excludes the survey of real property for the establishment of land boundaries, rights-of-way, easements, and the dependent or independent surveys or resurveys of the public land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responsible charge”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surveying documents”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engineering”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of engineering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Environmental engineering activities that may be involved in developing plans, reports, or actions to remediate an environmentally hazardous site;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 of fixturing devices for manufacturing machinery that must be performed by a licensed professional engineer or under the responsible charge and direct supervision of a professional engineer unless performed within the industrial exemption by a full-time employee of a corporation that constructs the fixtures.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Activities that the board will construe as the practice of engineering for which the board may by order impose a civil penalty upon a person who is not licensed as a professional engineer are set out in Iowa Code section </w:t>
      </w:r>
      <w:hyperlink r:id="rId11">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 surveying”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542B.2(10)</w:t>
        </w:r>
      </w:hyperlink>
      <w:r>
        <w:rPr>
          <w:rFonts w:ascii="Times New Roman" w:hAnsi="Times New Roman"/>
          <w:b w:val="false"/>
          <w:i w:val="false"/>
          <w:color w:val="000000"/>
          <w:sz w:val="22"/>
        </w:rPr>
        <w:t xml:space="preserve"> and also includes activities that the board will construe as the practice of land surveying and for which the board may by order impose a civil penalty upon a person who is not licensed as a professional land surveyor as set out in Iowa Code section </w:t>
      </w:r>
      <w:hyperlink r:id="rId13">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engineer”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542B.2(11)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 surveyor”</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practice of land surveying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w:t>
      </w:r>
      <w:r>
        <w:rPr>
          <w:rFonts w:ascii="Times New Roman" w:hAnsi="Times New Roman"/>
          <w:b w:val="false"/>
          <w:i w:val="false"/>
          <w:color w:val="000000"/>
          <w:sz w:val="22"/>
        </w:rPr>
        <w:t> </w:t>
      </w:r>
      <w:r>
        <w:rPr>
          <w:rFonts w:ascii="Times New Roman" w:hAnsi="Times New Roman"/>
          <w:b w:val="false"/>
          <w:i w:val="false"/>
          <w:color w:val="000000"/>
          <w:sz w:val="22"/>
        </w:rPr>
        <w:t>when used to describe an examination, means a computer-based format.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pdf" Type="http://schemas.openxmlformats.org/officeDocument/2006/relationships/hyperlink" Id="rId4"/>
    <Relationship TargetMode="External" Target="https://www.legis.iowa.gov/docs/ico/chapter/542B.2.pdf" Type="http://schemas.openxmlformats.org/officeDocument/2006/relationships/hyperlink" Id="rId5"/>
    <Relationship TargetMode="External" Target="https://www.legis.iowa.gov/docs/ico/chapter/542B.2.pdf" Type="http://schemas.openxmlformats.org/officeDocument/2006/relationships/hyperlink" Id="rId6"/>
    <Relationship TargetMode="External" Target="https://www.legis.iowa.gov/docs/ico/chapter/542B.2.pdf" Type="http://schemas.openxmlformats.org/officeDocument/2006/relationships/hyperlink" Id="rId7"/>
    <Relationship TargetMode="External" Target="https://www.legis.iowa.gov/docs/ico/chapter/542B.2.pdf" Type="http://schemas.openxmlformats.org/officeDocument/2006/relationships/hyperlink" Id="rId8"/>
    <Relationship TargetMode="External" Target="https://www.legis.iowa.gov/docs/ico/chapter/542B.2.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7.pdf" Type="http://schemas.openxmlformats.org/officeDocument/2006/relationships/hyperlink" Id="rId11"/>
    <Relationship TargetMode="External" Target="https://www.legis.iowa.gov/docs/ico/chapter/542B.2.pdf" Type="http://schemas.openxmlformats.org/officeDocument/2006/relationships/hyperlink" Id="rId12"/>
    <Relationship TargetMode="External" Target="https://www.legis.iowa.gov/docs/ico/chapter/542B.27.pdf" Type="http://schemas.openxmlformats.org/officeDocument/2006/relationships/hyperlink" Id="rId13"/>
    <Relationship TargetMode="External" Target="https://www.legis.iowa.gov/docs/ico/chapter/542B.2.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