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Case numbers.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based on a written complaint received by the board or a complaint initiated by the board, all complaint files are tracked by a case numbering system. The board administrator maintains a case file log noting the date each case file was opened, whether disciplinary proceedings were initiated in the case, and the final disposition of the case. Once a case file number is assigned to a complaint, all persons communicating with the board regarding that complaint are encouraged to include the case file number to facilitate accurate recordkeeping and a prompt response.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