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481—1005.4</w:t>
      </w:r>
      <w:r>
        <w:rPr>
          <w:rFonts w:ascii="Times New Roman" w:hAnsi="Times New Roman"/>
          <w:b/>
          <w:i w:val="false"/>
          <w:color w:val="000000"/>
          <w:sz w:val="22"/>
        </w:rPr>
        <w:t xml:space="preserve">(272C,544C) </w:t>
      </w:r>
      <w:r>
        <w:rPr>
          <w:rFonts w:ascii="Times New Roman" w:hAnsi="Times New Roman"/>
          <w:b/>
          <w:i w:val="false"/>
          <w:color w:val="000000"/>
          <w:sz w:val="22"/>
        </w:rPr>
        <w:t xml:space="preserve">Complaints. </w:t>
      </w:r>
      <w:r>
        <w:rPr>
          <w:rFonts w:ascii="Times New Roman" w:hAnsi="Times New Roman"/>
          <w:b w:val="false"/>
          <w:i w:val="false"/>
          <w:color w:val="000000"/>
          <w:sz w:val="22"/>
        </w:rPr>
        <w:t>Written complaints may be submitted to the board office by mail, email, website portal, or 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1005.4(1)</w:t>
      </w:r>
      <w:r>
        <w:rPr>
          <w:rFonts w:ascii="Times New Roman" w:hAnsi="Times New Roman"/>
          <w:b w:val="false"/>
          <w:i w:val="false"/>
          <w:color w:val="000000"/>
          <w:sz w:val="22"/>
        </w:rPr>
        <w:t> </w:t>
      </w:r>
      <w:r>
        <w:rPr>
          <w:rFonts w:ascii="Times New Roman" w:hAnsi="Times New Roman"/>
          <w:b w:val="false"/>
          <w:i/>
          <w:color w:val="000000"/>
          <w:sz w:val="22"/>
        </w:rPr>
        <w:t xml:space="preserve">Contents of a written complaint. </w:t>
      </w:r>
      <w:r>
        <w:rPr>
          <w:rFonts w:ascii="Times New Roman" w:hAnsi="Times New Roman"/>
          <w:b w:val="false"/>
          <w:i w:val="false"/>
          <w:color w:val="000000"/>
          <w:sz w:val="22"/>
        </w:rPr>
        <w:t>Written complaints may be submitted on forms provided by the board that are available from the board’s website. Written complaints should include as much of the following information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 (person filing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respondent (registrant against whom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facts and circumstances giving rise to the complaint, including a description of the alleged acts or omissions that the complainant believes demonstrate that the respondent has violated or is violating laws or rules enforced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known, citations to the laws or rules allegedly violated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Evidentiary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Steps, if any, taken by the complainant to resolve the dispute with the respondent prior to filing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1005.4(2)</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 xml:space="preserve">As provided by Iowa Code section </w:t>
      </w:r>
      <w:hyperlink r:id="rId4">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 a person will not be civilly liable as a result of filing a report or complaint with the board unless such act is done with malice, nor will an employee be dismissed from employment or discriminated against by an employer for filing such a report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1005.4(3)</w:t>
      </w:r>
      <w:r>
        <w:rPr>
          <w:rFonts w:ascii="Times New Roman" w:hAnsi="Times New Roman"/>
          <w:b w:val="false"/>
          <w:i w:val="false"/>
          <w:color w:val="000000"/>
          <w:sz w:val="22"/>
        </w:rPr>
        <w:t> </w:t>
      </w:r>
      <w:r>
        <w:rPr>
          <w:rFonts w:ascii="Times New Roman" w:hAnsi="Times New Roman"/>
          <w:b w:val="false"/>
          <w:i/>
          <w:color w:val="000000"/>
          <w:sz w:val="22"/>
        </w:rPr>
        <w:t xml:space="preserve">Role of complainant. </w:t>
      </w:r>
      <w:r>
        <w:rPr>
          <w:rFonts w:ascii="Times New Roman" w:hAnsi="Times New Roman"/>
          <w:b w:val="false"/>
          <w:i w:val="false"/>
          <w:color w:val="000000"/>
          <w:sz w:val="22"/>
        </w:rPr>
        <w:t>The role of the complainant in the disciplinary process is limited to providing the board with factual information relative to the complaint. A complainant is not party to any disciplinary proceeding that may be initiated by the board based in whole or in part on information provided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1005.4(4)</w:t>
      </w:r>
      <w:r>
        <w:rPr>
          <w:rFonts w:ascii="Times New Roman" w:hAnsi="Times New Roman"/>
          <w:b w:val="false"/>
          <w:i w:val="false"/>
          <w:color w:val="000000"/>
          <w:sz w:val="22"/>
        </w:rPr>
        <w:t> </w:t>
      </w:r>
      <w:r>
        <w:rPr>
          <w:rFonts w:ascii="Times New Roman" w:hAnsi="Times New Roman"/>
          <w:b w:val="false"/>
          <w:i/>
          <w:color w:val="000000"/>
          <w:sz w:val="22"/>
        </w:rPr>
        <w:t xml:space="preserve">Role of the board. </w:t>
      </w:r>
      <w:r>
        <w:rPr>
          <w:rFonts w:ascii="Times New Roman" w:hAnsi="Times New Roman"/>
          <w:b w:val="false"/>
          <w:i w:val="false"/>
          <w:color w:val="000000"/>
          <w:sz w:val="22"/>
        </w:rPr>
        <w:t>The board does not act as an arbiter of disputes between private parties, nor does the board initiate disciplinary proceedings to advance the private interest of any person or party. The role of the board in the disciplinary process is to protect the public by investigating complaints and initiating disciplinary proceedings in appropriate cases. The board possesses sole decision-making authority throughout the disciplinary process, including the authority to determine whether a case will be investigated, the manner of the investigation, whether a disciplinary proceeding will be initiated, and the appropriate registrant discipline to be imposed,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1005.4(5)</w:t>
      </w:r>
      <w:r>
        <w:rPr>
          <w:rFonts w:ascii="Times New Roman" w:hAnsi="Times New Roman"/>
          <w:b w:val="false"/>
          <w:i w:val="false"/>
          <w:color w:val="000000"/>
          <w:sz w:val="22"/>
        </w:rPr>
        <w:t> </w:t>
      </w:r>
      <w:r>
        <w:rPr>
          <w:rFonts w:ascii="Times New Roman" w:hAnsi="Times New Roman"/>
          <w:b w:val="false"/>
          <w:i/>
          <w:color w:val="000000"/>
          <w:sz w:val="22"/>
        </w:rPr>
        <w:t xml:space="preserve">Initial complaint screening. </w:t>
      </w:r>
      <w:r>
        <w:rPr>
          <w:rFonts w:ascii="Times New Roman" w:hAnsi="Times New Roman"/>
          <w:b w:val="false"/>
          <w:i w:val="false"/>
          <w:color w:val="000000"/>
          <w:sz w:val="22"/>
        </w:rPr>
        <w:t xml:space="preserve">All written complaints received by the board are initially screened to determine whether the allegations of the complaint fall within the board’s investigatory jurisdiction and whether the facts presented, if true, would constitute a basis for disciplinary action against a registrant. Complaints that are clearly outside the board’s jurisdiction, that clearly do not allege facts upon which disciplinary action would be based, or that are frivolous are referred to the board for closure at the next scheduled board meeting. All other complaints are referred to the board’s disciplinary committee for committee review as described in rule </w:t>
      </w:r>
      <w:hyperlink r:id="rId5">
        <w:r>
          <w:rPr>
            <w:rStyle w:val="Hyperlink"/>
            <w:rFonts w:ascii="Times New Roman" w:hAnsi="Times New Roman"/>
            <w:b w:val="false"/>
            <w:i w:val="false"/>
            <w:color w:val="000000"/>
            <w:sz w:val="22"/>
          </w:rPr>
          <w:t>481—1005.6</w:t>
        </w:r>
      </w:hyperlink>
      <w:r>
        <w:rPr>
          <w:rFonts w:ascii="Times New Roman" w:hAnsi="Times New Roman"/>
          <w:b w:val="false"/>
          <w:i w:val="false"/>
          <w:color w:val="000000"/>
          <w:sz w:val="22"/>
        </w:rPr>
        <w:t>(17A,272C,544C).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8.pdf" Type="http://schemas.openxmlformats.org/officeDocument/2006/relationships/hyperlink" Id="rId4"/>
    <Relationship TargetMode="External" Target="https://www.legis.iowa.gov/docs/iac/rule/481.1005.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