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Initiation of disciplinary 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initiate a registrant disciplinary investigation upon the board’s receipt of information suggesting that a registrant may have violated a law or rule enforced by the board which violation, if true, would constitute grounds for registrant discipline. The board may also review the publicly available work product of a registrant on a general or random basis to determine whether reasonable grounds exist to initiate disciplinary proceedings or to conduct a more specific investigation.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