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481—1005.11</w:t>
      </w:r>
      <w:r>
        <w:rPr>
          <w:rFonts w:ascii="Times New Roman" w:hAnsi="Times New Roman"/>
          <w:b/>
          <w:i w:val="false"/>
          <w:color w:val="000000"/>
          <w:sz w:val="22"/>
        </w:rPr>
        <w:t xml:space="preserve">(272C,544C) </w:t>
      </w:r>
      <w:r>
        <w:rPr>
          <w:rFonts w:ascii="Times New Roman" w:hAnsi="Times New Roman"/>
          <w:b/>
          <w:i w:val="false"/>
          <w:color w:val="000000"/>
          <w:sz w:val="22"/>
        </w:rPr>
        <w:t xml:space="preserve">Disciplinary 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1005.11(1)</w:t>
      </w:r>
      <w:r>
        <w:rPr>
          <w:rFonts w:ascii="Times New Roman" w:hAnsi="Times New Roman"/>
          <w:b w:val="false"/>
          <w:i w:val="false"/>
          <w:color w:val="000000"/>
          <w:sz w:val="22"/>
        </w:rPr>
        <w:t> </w:t>
      </w:r>
      <w:r>
        <w:rPr>
          <w:rFonts w:ascii="Times New Roman" w:hAnsi="Times New Roman"/>
          <w:b w:val="false"/>
          <w:i/>
          <w:color w:val="000000"/>
          <w:sz w:val="22"/>
        </w:rPr>
        <w:t xml:space="preserve">Types of sanctions. </w:t>
      </w:r>
      <w:r>
        <w:rPr>
          <w:rFonts w:ascii="Times New Roman" w:hAnsi="Times New Roman"/>
          <w:b w:val="false"/>
          <w:i w:val="false"/>
          <w:color w:val="000000"/>
          <w:sz w:val="22"/>
        </w:rPr>
        <w:t>The board has authority to impose the following disciplinary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Revoke a registration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Suspend a registration issued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Revoke or suspend the privilege to engage in one or more areas of registered interior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Impose a period of probation, either with or without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Impose requirements regarding continuing education. The board may specify that a designated amount of continuing education be taken in specific subjects and may specify the time period for completing these courses. The board may also specify whether that continuing education be in addition to the continuing education routinely required for registration renewal. The board may also specify that additional continuing education be a condition for the termination of any suspension or reinstatement of a registration. The board may also specify that current reference materials be obtained and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Require reexamination, using one or more parts of the National Council for Interior Design Qualification (NCIDQ) examination given to candidates for the registered interior design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Impose civil penalties in an amount set by the board but not to exceed $1,000 per violation. Civil penalties may be imposed for any of the disciplinary violations specified in rule </w:t>
      </w:r>
      <w:hyperlink r:id="rId4">
        <w:r>
          <w:rPr>
            <w:rStyle w:val="Hyperlink"/>
            <w:rFonts w:ascii="Times New Roman" w:hAnsi="Times New Roman"/>
            <w:b w:val="false"/>
            <w:i w:val="false"/>
            <w:color w:val="000000"/>
            <w:sz w:val="22"/>
          </w:rPr>
          <w:t>481—1005.2</w:t>
        </w:r>
      </w:hyperlink>
      <w:r>
        <w:rPr>
          <w:rFonts w:ascii="Times New Roman" w:hAnsi="Times New Roman"/>
          <w:b w:val="false"/>
          <w:i w:val="false"/>
          <w:color w:val="000000"/>
          <w:sz w:val="22"/>
        </w:rPr>
        <w:t>(17A,272C,544C).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Issue a reprimand.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1005.11(2)</w:t>
      </w:r>
      <w:r>
        <w:rPr>
          <w:rFonts w:ascii="Times New Roman" w:hAnsi="Times New Roman"/>
          <w:b w:val="false"/>
          <w:i w:val="false"/>
          <w:color w:val="000000"/>
          <w:sz w:val="22"/>
        </w:rPr>
        <w:t> </w:t>
      </w:r>
      <w:r>
        <w:rPr>
          <w:rFonts w:ascii="Times New Roman" w:hAnsi="Times New Roman"/>
          <w:b w:val="false"/>
          <w:i/>
          <w:color w:val="000000"/>
          <w:sz w:val="22"/>
        </w:rPr>
        <w:t xml:space="preserve">Imposing discipline. </w:t>
      </w:r>
      <w:r>
        <w:rPr>
          <w:rFonts w:ascii="Times New Roman" w:hAnsi="Times New Roman"/>
          <w:b w:val="false"/>
          <w:i w:val="false"/>
          <w:color w:val="000000"/>
          <w:sz w:val="22"/>
        </w:rPr>
        <w:t>Discipline may be imposed against a registrant only by the affirmative vote of a majority of the members of the board who are not disqualified.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1005.11(3)</w:t>
      </w:r>
      <w:r>
        <w:rPr>
          <w:rFonts w:ascii="Times New Roman" w:hAnsi="Times New Roman"/>
          <w:b w:val="false"/>
          <w:i w:val="false"/>
          <w:color w:val="000000"/>
          <w:sz w:val="22"/>
        </w:rPr>
        <w:t> </w:t>
      </w:r>
      <w:r>
        <w:rPr>
          <w:rFonts w:ascii="Times New Roman" w:hAnsi="Times New Roman"/>
          <w:b w:val="false"/>
          <w:i/>
          <w:color w:val="000000"/>
          <w:sz w:val="22"/>
        </w:rPr>
        <w:t xml:space="preserve">Voluntary surrender. </w:t>
      </w:r>
      <w:r>
        <w:rPr>
          <w:rFonts w:ascii="Times New Roman" w:hAnsi="Times New Roman"/>
          <w:b w:val="false"/>
          <w:i w:val="false"/>
          <w:color w:val="000000"/>
          <w:sz w:val="22"/>
        </w:rPr>
        <w:t>The board may accept the voluntary surrender of a registration to resolve a pending disciplinary investigation or contested case. The board shall not accept a voluntary surrender of a registration to resolve a pending disciplinary investigation unless a statement of charges will be filed along with the order accepting the voluntary surrender. Such a voluntary surrender is considered disciplinary action and will be published in the same manner as other disciplinary orders.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1005.11(4)</w:t>
      </w:r>
      <w:r>
        <w:rPr>
          <w:rFonts w:ascii="Times New Roman" w:hAnsi="Times New Roman"/>
          <w:b w:val="false"/>
          <w:i w:val="false"/>
          <w:color w:val="000000"/>
          <w:sz w:val="22"/>
        </w:rPr>
        <w:t> </w:t>
      </w:r>
      <w:r>
        <w:rPr>
          <w:rFonts w:ascii="Times New Roman" w:hAnsi="Times New Roman"/>
          <w:b w:val="false"/>
          <w:i/>
          <w:color w:val="000000"/>
          <w:sz w:val="22"/>
        </w:rPr>
        <w:t xml:space="preserve">Notification requirements. </w:t>
      </w:r>
      <w:r>
        <w:rPr>
          <w:rFonts w:ascii="Times New Roman" w:hAnsi="Times New Roman"/>
          <w:b w:val="false"/>
          <w:i w:val="false"/>
          <w:color w:val="000000"/>
          <w:sz w:val="22"/>
        </w:rPr>
        <w:t>Whenever a registration is revoked, suspended, restricted, or voluntarily surrendered under this chapter, the registrant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Within 15 days of receipt of the board’s final order, notify in writing all clients of the fact that the registration has been revoked, suspended or voluntarily surrendered or that the practice of the registrant has been restricted. Such notice shall advise the client to obtain alternative professional services unless the restriction at issue would not impact the registered interior design services provided for that client;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30 days of receipt of the board’s final order, file with the board copies of the notices sent pursuant to paragraph </w:t>
      </w:r>
      <w:hyperlink r:id="rId5">
        <w:r>
          <w:rPr>
            <w:rStyle w:val="Hyperlink"/>
            <w:rFonts w:ascii="Times New Roman" w:hAnsi="Times New Roman"/>
            <w:b w:val="false"/>
            <w:i w:val="false"/>
            <w:color w:val="000000"/>
            <w:sz w:val="22"/>
          </w:rPr>
          <w:t>1005.11(4)</w:t>
        </w:r>
      </w:hyperlink>
      <w:r>
        <w:rPr>
          <w:rFonts w:ascii="Times New Roman" w:hAnsi="Times New Roman"/>
          <w:b w:val="false"/>
          <w:i/>
          <w:color w:val="000000"/>
          <w:sz w:val="22"/>
        </w:rPr>
        <w:t>“a.”</w:t>
      </w:r>
      <w:r>
        <w:rPr>
          <w:rFonts w:ascii="Times New Roman" w:hAnsi="Times New Roman"/>
          <w:b w:val="false"/>
          <w:i w:val="false"/>
          <w:color w:val="000000"/>
          <w:sz w:val="22"/>
        </w:rPr>
        <w:t xml:space="preserve"> Compliance with this requirement is a condition for an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1005.11(5)</w:t>
      </w:r>
      <w:r>
        <w:rPr>
          <w:rFonts w:ascii="Times New Roman" w:hAnsi="Times New Roman"/>
          <w:b w:val="false"/>
          <w:i w:val="false"/>
          <w:color w:val="000000"/>
          <w:sz w:val="22"/>
        </w:rPr>
        <w:t> </w:t>
      </w:r>
      <w:r>
        <w:rPr>
          <w:rFonts w:ascii="Times New Roman" w:hAnsi="Times New Roman"/>
          <w:b w:val="false"/>
          <w:i/>
          <w:color w:val="000000"/>
          <w:sz w:val="22"/>
        </w:rPr>
        <w:t xml:space="preserve">Civil penalties. </w:t>
      </w:r>
      <w:r>
        <w:rPr>
          <w:rFonts w:ascii="Times New Roman" w:hAnsi="Times New Roman"/>
          <w:b w:val="false"/>
          <w:i w:val="false"/>
          <w:color w:val="000000"/>
          <w:sz w:val="22"/>
        </w:rPr>
        <w:t>Factors the board may consider when determining whether to assess the amount of civil penalties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Whether other forms of discipline are being imposed for the same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Whether the amount imposed will be a substantial deterrent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circumstances leading to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severity of the violation and the risk of harm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economic benefits gained by the registrant as a result of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interest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Evidence of reform or remedial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Time elapsed since the violation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Whether the violation is a repeat offense following a prior cautionary letter, disciplinary order, or other notice of the nature of the infraction.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clarity of the issues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Whether the violation was willful and intentional.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Whether the registrant acted in bad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extent to which the registrant cooperated with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9026C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81.1005.2.pdf" Type="http://schemas.openxmlformats.org/officeDocument/2006/relationships/hyperlink" Id="rId4"/>
    <Relationship TargetMode="External" Target="https://www.legis.iowa.gov/docs/iac/rule/481.1005.11.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