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481—1003.3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1003.3(1)</w:t>
      </w:r>
      <w:r>
        <w:rPr>
          <w:rFonts w:ascii="Times New Roman" w:hAnsi="Times New Roman"/>
          <w:b w:val="false"/>
          <w:i w:val="false"/>
          <w:color w:val="000000"/>
          <w:sz w:val="22"/>
        </w:rPr>
        <w:t> </w:t>
      </w:r>
      <w:r>
        <w:rPr>
          <w:rFonts w:ascii="Times New Roman" w:hAnsi="Times New Roman"/>
          <w:b w:val="false"/>
          <w:i w:val="false"/>
          <w:color w:val="000000"/>
          <w:sz w:val="22"/>
        </w:rPr>
        <w:t>An applicant for registration renewal may be requested to provide, in such manner and at such time as prescribed by the board, a signed statement, under penalty of perjury, on forms provided by the board, setting forth the continuing education in which the registrant has participated.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applicant is requested to provide a listing of the continuing education completed for structured activities, the information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title of the course or a description of the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information submitted by registrants. If an application for renewal is not approved, the applicant will be notified and may be granted a period of time by the board in which to correct the deficiencies noted. Any discrepancy between the number of CEUs reported and the number of CEUs actually supported by documentation may result in a disciplinary review. If, after the disciplinary review, the board disallows any CEUs, or the registrant has failed to complete the required CEUs, the interior designer has 60 days from notification by the board to either provide further evidence of having completed the CEUs disallowed or remedy the discrepancy by completing the required number of CEUs (provided that such CEUs shall not again be used for the next renewal). An extension of time may be granted on an individual basis if requested by the registrant within 30 days of notification by the board. If the registrant fails to comply with the requirements of this subrule, the registrant may be subject to disciplinary action. If the board finds, after proper notice and hearing, that the interior designer willfully disregarded these requirements or falsified documentation of required CEUs, the interior designer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1003.3(3)</w:t>
      </w:r>
      <w:r>
        <w:rPr>
          <w:rFonts w:ascii="Times New Roman" w:hAnsi="Times New Roman"/>
          <w:b w:val="false"/>
          <w:i w:val="false"/>
          <w:color w:val="000000"/>
          <w:sz w:val="22"/>
        </w:rPr>
        <w:t> </w:t>
      </w:r>
      <w:r>
        <w:rPr>
          <w:rFonts w:ascii="Times New Roman" w:hAnsi="Times New Roman"/>
          <w:b w:val="false"/>
          <w:i w:val="false"/>
          <w:color w:val="000000"/>
          <w:sz w:val="22"/>
        </w:rPr>
        <w:t>The registrant is responsible for maintaining verification of claimed credit for a minimum of five years subsequent to submission of the report to the board office. Acceptable verification may be presented with a course completion certificate or a college transcript.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