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481—1002.5</w:t>
      </w:r>
      <w:r>
        <w:rPr>
          <w:rFonts w:ascii="Times New Roman" w:hAnsi="Times New Roman"/>
          <w:b/>
          <w:i w:val="false"/>
          <w:color w:val="000000"/>
          <w:sz w:val="22"/>
        </w:rPr>
        <w:t xml:space="preserve">(544A)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1002.5(1)</w:t>
      </w:r>
      <w:r>
        <w:rPr>
          <w:rFonts w:ascii="Times New Roman" w:hAnsi="Times New Roman"/>
          <w:b w:val="false"/>
          <w:i w:val="false"/>
          <w:color w:val="000000"/>
          <w:sz w:val="22"/>
        </w:rPr>
        <w:t> </w:t>
      </w:r>
      <w:r>
        <w:rPr>
          <w:rFonts w:ascii="Times New Roman" w:hAnsi="Times New Roman"/>
          <w:b w:val="false"/>
          <w:i w:val="false"/>
          <w:color w:val="000000"/>
          <w:sz w:val="22"/>
        </w:rPr>
        <w:t>The interior designer is responsible for verifying the accuracy of the information submitted on applications regardless of how the application is submitted or by whom it is submitted. For instance, if the office manager of an interior designer’s firm submits an application for renewal on behalf of the interior designer and that information is incorrect, the interior designer will be held responsible for the information and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1002.5(2)</w:t>
      </w:r>
      <w:r>
        <w:rPr>
          <w:rFonts w:ascii="Times New Roman" w:hAnsi="Times New Roman"/>
          <w:b w:val="false"/>
          <w:i w:val="false"/>
          <w:color w:val="000000"/>
          <w:sz w:val="22"/>
        </w:rPr>
        <w:t> </w:t>
      </w:r>
      <w:r>
        <w:rPr>
          <w:rFonts w:ascii="Times New Roman" w:hAnsi="Times New Roman"/>
          <w:b w:val="false"/>
          <w:i w:val="false"/>
          <w:color w:val="000000"/>
          <w:sz w:val="22"/>
        </w:rPr>
        <w:t>Persons applying for initial, renewal, or reciprocal registration will submit an application on a form provided by the board and pay a registration fee of $275. An applicant applying for initial, reciprocal, or reinstatement registration within 12 months from the applicant’s renewal date pays half of the required fee. An applicant applying for initial, reciprocal, or reinstatement registration 12 months or more from the applicant’s renewal date pays the full registration fee.</w:t>
      </w:r>
    </w:p>
    <w:p>
      <w:pPr>
        <w:spacing w:before="0" w:after="0"/>
        <w:ind w:left="120"/>
        <w:jc w:val="both"/>
      </w:pPr>
      <w:r>
        <w:rPr>
          <w:rFonts w:ascii="Times New Roman" w:hAnsi="Times New Roman"/>
          <w:b/>
          <w:i w:val="false"/>
          <w:color w:val="000000"/>
          <w:sz w:val="22"/>
        </w:rPr>
        <w:t>1002.5(3)</w:t>
      </w:r>
      <w:r>
        <w:rPr>
          <w:rFonts w:ascii="Times New Roman" w:hAnsi="Times New Roman"/>
          <w:b w:val="false"/>
          <w:i w:val="false"/>
          <w:color w:val="000000"/>
          <w:sz w:val="22"/>
        </w:rPr>
        <w:t> </w:t>
      </w:r>
      <w:r>
        <w:rPr>
          <w:rFonts w:ascii="Times New Roman" w:hAnsi="Times New Roman"/>
          <w:b w:val="false"/>
          <w:i w:val="false"/>
          <w:color w:val="000000"/>
          <w:sz w:val="22"/>
        </w:rPr>
        <w:t>Fee schedule.</w:t>
      </w:r>
    </w:p>
    <w:tbl>
      <w:tblPr>
        <w:tblW w:w="0" w:type="auto"/>
        <w:tblCellSpacing w:w="0" w:type="auto"/>
        <w:tblBorders>
          <w:top w:val="none"/>
          <w:left w:val="none"/>
          <w:bottom w:val="none"/>
          <w:right w:val="none"/>
          <w:insideH w:val="none"/>
          <w:insideV w:val="none"/>
        </w:tblBorders>
        <w:tblLayout w:type="fixed"/>
      </w:tblPr>
      <w:tblGrid>
        <w:gridCol w:w="5705"/>
        <w:gridCol w:w="3247"/>
      </w:tblGrid>
      <w:tr>
        <w:trPr>
          <w:trHeight w:val="180" w:hRule="atLeast"/>
        </w:trPr>
        <w:tc>
          <w:tcPr>
            <w:tcW w:w="57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Type of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Amount</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Registration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Renewal</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registration</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License predetermination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Dishonored check, draft, order or other payment failure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bl>
    <w:p>
      <w:pPr>
        <w:spacing w:before="0" w:after="0"/>
        <w:ind w:left="120"/>
        <w:jc w:val="both"/>
      </w:pP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