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481—1002.2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Renewal of certificates of registration. </w:t>
      </w:r>
      <w:r>
        <w:rPr>
          <w:rFonts w:ascii="Times New Roman" w:hAnsi="Times New Roman"/>
          <w:b w:val="false"/>
          <w:i w:val="false"/>
          <w:color w:val="000000"/>
          <w:sz w:val="22"/>
        </w:rPr>
        <w:t xml:space="preserve">Certificates of registration expire biennially on June 30. Certificates issued to registrants with last names beginning with A through K expire on June 30 of even-numbered years and certificates issued to registrants with last names beginning with L through Z expire on June 30 of odd-numbered years. However, a registration issued on or after May 1 but before June 30 will not expire until June 30 of the next renewal. For example, a license issued on May 17, 2020, would not expire until June 30, 2022. A registrant who fails to renew by the expiration date is not authorized to use the title of registered interior designer in Iowa until the certificate is reinstated as provided in rule </w:t>
      </w:r>
      <w:hyperlink r:id="rId4">
        <w:r>
          <w:rPr>
            <w:rStyle w:val="Hyperlink"/>
            <w:rFonts w:ascii="Times New Roman" w:hAnsi="Times New Roman"/>
            <w:b w:val="false"/>
            <w:i w:val="false"/>
            <w:color w:val="000000"/>
            <w:sz w:val="22"/>
          </w:rPr>
          <w:t>481—1002.3</w:t>
        </w:r>
      </w:hyperlink>
      <w:r>
        <w:rPr>
          <w:rFonts w:ascii="Times New Roman" w:hAnsi="Times New Roman"/>
          <w:b w:val="false"/>
          <w:i w:val="false"/>
          <w:color w:val="000000"/>
          <w:sz w:val="22"/>
        </w:rPr>
        <w:t>(544C,17A).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registrant a notice of the pending expiration date. Failure to receive this notice does not relieve the registrant of the responsibility to timely renew the certificate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written notification to the applicant by restricted certified mail, return receipt requested. Grounds may exist to deny an application to renew if, for instance, the registrant failed to satisfy the continuing education provisions required as a condition for registration. If the basis for denial is a pending disciplinary action or disciplinary investigation that is reasonably expected to culminate in disciplinary action, the board shall proceed as provided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registrant appears to be in violation of mandatory continuing education requirements, the board may, in lieu of proceeding to a contested case hearing on the denial of a renewal application as provided in </w:t>
      </w:r>
      <w:hyperlink r:id="rId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after or in lieu of giving the licensee an opportunity to come into compliance under rule </w:t>
      </w:r>
      <w:hyperlink r:id="rId8">
        <w:r>
          <w:rPr>
            <w:rStyle w:val="Hyperlink"/>
            <w:rFonts w:ascii="Times New Roman" w:hAnsi="Times New Roman"/>
            <w:b w:val="false"/>
            <w:i w:val="false"/>
            <w:color w:val="000000"/>
            <w:sz w:val="22"/>
          </w:rPr>
          <w:t>481—1003.3</w:t>
        </w:r>
      </w:hyperlink>
      <w:r>
        <w:rPr>
          <w:rFonts w:ascii="Times New Roman" w:hAnsi="Times New Roman"/>
          <w:b w:val="false"/>
          <w:i w:val="false"/>
          <w:color w:val="000000"/>
          <w:sz w:val="22"/>
        </w:rPr>
        <w:t xml:space="preserve">(17A,544C), offer a registrant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registrant complete hours equal to double the deficiency in addition to the required hours. The consent order may impose additional educational requirements on the registrant. Any additional hours of continuing education completed in compliance with the consent order cannot again be claimed at the next renewal. The board will address subsequent offenses on a case-by-case basis. A registrant is free to accept or reject the offer. If the offer of settlement is accepted, the registrant will be issued a renewed certificate of registration and will be subject to disciplinary action if the terms of the consent order are not fulfilled. If the offer of settlement is rejected, the matter will be set for hearing if timely requested by the registrant pursuant to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1002.2(4)</w:t>
      </w:r>
      <w:r>
        <w:rPr>
          <w:rFonts w:ascii="Times New Roman" w:hAnsi="Times New Roman"/>
          <w:b w:val="false"/>
          <w:i w:val="false"/>
          <w:color w:val="000000"/>
          <w:sz w:val="22"/>
        </w:rPr>
        <w:t> </w:t>
      </w:r>
      <w:r>
        <w:rPr>
          <w:rFonts w:ascii="Times New Roman" w:hAnsi="Times New Roman"/>
          <w:b w:val="false"/>
          <w:i w:val="false"/>
          <w:color w:val="000000"/>
          <w:sz w:val="22"/>
        </w:rPr>
        <w:t>A registrant who continues to use the title of registered interior designer in Iowa after the registration has expired may be subject to disciplinary action. Such unauthorized activity may also be grounds to deny a registrant’s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1002.2(5)</w:t>
      </w:r>
      <w:r>
        <w:rPr>
          <w:rFonts w:ascii="Times New Roman" w:hAnsi="Times New Roman"/>
          <w:b w:val="false"/>
          <w:i w:val="false"/>
          <w:color w:val="000000"/>
          <w:sz w:val="22"/>
        </w:rPr>
        <w:t> </w:t>
      </w:r>
      <w:r>
        <w:rPr>
          <w:rFonts w:ascii="Times New Roman" w:hAnsi="Times New Roman"/>
          <w:b w:val="false"/>
          <w:i w:val="false"/>
          <w:color w:val="000000"/>
          <w:sz w:val="22"/>
        </w:rPr>
        <w:t>Registrants shall notify the board within 30 days of any change of address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02.3.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chapter/481.506.pdf" Type="http://schemas.openxmlformats.org/officeDocument/2006/relationships/hyperlink" Id="rId6"/>
    <Relationship TargetMode="External" Target="https://www.legis.iowa.gov/docs/iac/chapter/481.506.pdf" Type="http://schemas.openxmlformats.org/officeDocument/2006/relationships/hyperlink" Id="rId7"/>
    <Relationship TargetMode="External" Target="https://www.legis.iowa.gov/docs/iac/rule/481.1003.3.pdf" Type="http://schemas.openxmlformats.org/officeDocument/2006/relationships/hyperlink" Id="rId8"/>
    <Relationship TargetMode="External" Target="https://www.legis.iowa.gov/docs/iac/chapter/481.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