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199—2506.9</w:t>
      </w:r>
      <w:r>
        <w:rPr>
          <w:rFonts w:ascii="Times New Roman" w:hAnsi="Times New Roman"/>
          <w:b/>
          <w:i w:val="false"/>
          <w:color w:val="000000"/>
          <w:sz w:val="22"/>
        </w:rPr>
        <w:t xml:space="preserve">(17A,476) </w:t>
      </w:r>
      <w:r>
        <w:rPr>
          <w:rFonts w:ascii="Times New Roman" w:hAnsi="Times New Roman"/>
          <w:b/>
          <w:i w:val="false"/>
          <w:color w:val="000000"/>
          <w:sz w:val="22"/>
        </w:rPr>
        <w:t xml:space="preserve">Pleadings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filed pursuant to statute, rule, or order or filed to initiate a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2506.9(2)</w:t>
      </w:r>
      <w:r>
        <w:rPr>
          <w:rFonts w:ascii="Times New Roman" w:hAnsi="Times New Roman"/>
          <w:b w:val="false"/>
          <w:i w:val="false"/>
          <w:color w:val="000000"/>
          <w:sz w:val="22"/>
        </w:rPr>
        <w:t> </w:t>
      </w:r>
      <w:r>
        <w:rPr>
          <w:rFonts w:ascii="Times New Roman" w:hAnsi="Times New Roman"/>
          <w:b w:val="false"/>
          <w:i/>
          <w:color w:val="000000"/>
          <w:sz w:val="22"/>
        </w:rPr>
        <w:t xml:space="preserve">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answers to complaints, petitions, applications, or other pleadings shall be filed with the commission within 20 days after the day on which the pleading being answered was filed in the commission’s electronic filing system and served upon the respondent or other party. However, when a provision of law requires that the commission issue a decision in the case in six months or less, the answer shall be filed with the commission within ten days of service of the pleading being answered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will specifically admit, deny, or otherwise answer all material allegations of the pleadings and also briefly set forth the affirmative grounds relied upon to support each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who deems the complaint, petition, application, or other pleading insufficient to show a breach of legal duty or grounds for relief may move to dismiss instead of, or in addition to, answering.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party may apply for a more definitive and detailed statement instead of, or in addition to, answering,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pleadings. </w:t>
      </w:r>
      <w:r>
        <w:rPr>
          <w:rFonts w:ascii="Times New Roman" w:hAnsi="Times New Roman"/>
          <w:b w:val="false"/>
          <w:i w:val="false"/>
          <w:color w:val="000000"/>
          <w:sz w:val="22"/>
        </w:rPr>
        <w:t>Amendments to pleadings may be allowed upon proper motion at any time during the pendency of the proceeding upon such terms as are just and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