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199—2506.8</w:t>
      </w:r>
      <w:r>
        <w:rPr>
          <w:rFonts w:ascii="Times New Roman" w:hAnsi="Times New Roman"/>
          <w:b/>
          <w:i w:val="false"/>
          <w:color w:val="000000"/>
          <w:sz w:val="22"/>
        </w:rPr>
        <w:t xml:space="preserve">(17A,476) </w:t>
      </w:r>
      <w:r>
        <w:rPr>
          <w:rFonts w:ascii="Times New Roman" w:hAnsi="Times New Roman"/>
          <w:b/>
          <w:i w:val="false"/>
          <w:color w:val="000000"/>
          <w:sz w:val="22"/>
        </w:rPr>
        <w:t xml:space="preserve">Delivery of notice of hearing. </w:t>
      </w:r>
      <w:r>
        <w:rPr>
          <w:rFonts w:ascii="Times New Roman" w:hAnsi="Times New Roman"/>
          <w:b w:val="false"/>
          <w:i w:val="false"/>
          <w:color w:val="000000"/>
          <w:sz w:val="22"/>
        </w:rPr>
        <w:t>When the commission or presiding officer issues an order containing a notice of hearing, delivery of the order will be by electronic notice through the electronic filing system, and to those persons who have been approved to receive paper documents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