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199—2506.6</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proceedings. </w:t>
      </w:r>
      <w:r>
        <w:rPr>
          <w:rFonts w:ascii="Times New Roman" w:hAnsi="Times New Roman"/>
          <w:b w:val="false"/>
          <w:i w:val="false"/>
          <w:color w:val="000000"/>
          <w:sz w:val="22"/>
        </w:rPr>
        <w:t>The commission or presiding officer may hold proceedings by telephone conference call or other electronic means, such as a webinar service, in which all parties have an opportunity to participate. The commission or presiding officer will determine the location of the parties and witnesses for electronic proceedings. The convenience of the witnesses or parties, as well as the nature of the case, will be considered when locations are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