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199—2506.29</w:t>
      </w:r>
      <w:r>
        <w:rPr>
          <w:rFonts w:ascii="Times New Roman" w:hAnsi="Times New Roman"/>
          <w:b/>
          <w:i w:val="false"/>
          <w:color w:val="000000"/>
          <w:sz w:val="22"/>
        </w:rPr>
        <w:t xml:space="preserve">(17A,476)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commission may issue an emergency adjudicative order in compliance with Iowa Code section </w:t>
      </w:r>
      <w:hyperlink r:id="rId4">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order the cessation of any continuing activity, order affirmative action, or take other action within the jurisdiction of the agency. Before issuing an emergency adjudicative order, the commission may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provide reasonably reliable information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are likely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obligated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for the decision, if it is an exercise of the commission’s discretion, to justify the determination of an immediate danger and the commission’s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persons who are to comply with the order by the most reasonably available method, which may include one or more of the following methods: notice through the electronic filing system, personal delivery, certified mail, first-class mail, fax, or email. To the degree practical, the commission will select the method or methods most likely to result in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delivered by personal service on the day issued, the commission will make reasonable efforts to contact the persons who are to comply with the order by telephone, in person,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2506.29(3)</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Issuance and delivery of a written emergency adjudicative order will normally include notification of a procedural schedule for completion of the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8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