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199—2506.27</w:t>
      </w:r>
      <w:r>
        <w:rPr>
          <w:rFonts w:ascii="Times New Roman" w:hAnsi="Times New Roman"/>
          <w:b/>
          <w:i w:val="false"/>
          <w:color w:val="000000"/>
          <w:sz w:val="22"/>
        </w:rPr>
        <w:t xml:space="preserve">(17A,476) </w:t>
      </w:r>
      <w:r>
        <w:rPr>
          <w:rFonts w:ascii="Times New Roman" w:hAnsi="Times New Roman"/>
          <w:b/>
          <w:i w:val="false"/>
          <w:color w:val="000000"/>
          <w:sz w:val="22"/>
        </w:rPr>
        <w:t xml:space="preserve">Rehearing and 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Any party to a contested case may file an application for rehearing or reconsideration of the final decision within 20 days after the issuance of a final decision in a contested case. The commission will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is deemed a refusal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Applications for rehearing or reconsideration will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will present the evidence by affidavit that includes an explanation of the competence of the person to sponsor the evidence and a brief description of the evidence sought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objections to applications for rehearing or reconsideration. </w:t>
      </w:r>
      <w:r>
        <w:rPr>
          <w:rFonts w:ascii="Times New Roman" w:hAnsi="Times New Roman"/>
          <w:b w:val="false"/>
          <w:i w:val="false"/>
          <w:color w:val="000000"/>
          <w:sz w:val="22"/>
        </w:rPr>
        <w:t xml:space="preserve">Notwithstanding the provisions of subrule </w:t>
      </w:r>
      <w:hyperlink r:id="rId4">
        <w:r>
          <w:rPr>
            <w:rStyle w:val="Hyperlink"/>
            <w:rFonts w:ascii="Times New Roman" w:hAnsi="Times New Roman"/>
            <w:b w:val="false"/>
            <w:i w:val="false"/>
            <w:color w:val="000000"/>
            <w:sz w:val="22"/>
          </w:rPr>
          <w:t>2506.9(2)</w:t>
        </w:r>
      </w:hyperlink>
      <w:r>
        <w:rPr>
          <w:rFonts w:ascii="Times New Roman" w:hAnsi="Times New Roman"/>
          <w:b w:val="false"/>
          <w:i w:val="false"/>
          <w:color w:val="000000"/>
          <w:sz w:val="22"/>
        </w:rPr>
        <w:t xml:space="preserve"> and unless otherwise ordered by the commission, within 14 days of the date the application was filed, an answer or objection to the application may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506.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