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199—2506.24</w:t>
      </w:r>
      <w:r>
        <w:rPr>
          <w:rFonts w:ascii="Times New Roman" w:hAnsi="Times New Roman"/>
          <w:b/>
          <w:i w:val="false"/>
          <w:color w:val="000000"/>
          <w:sz w:val="22"/>
        </w:rPr>
        <w:t xml:space="preserve">(17A,476) </w:t>
      </w:r>
      <w:r>
        <w:rPr>
          <w:rFonts w:ascii="Times New Roman" w:hAnsi="Times New Roman"/>
          <w:b/>
          <w:i w:val="false"/>
          <w:color w:val="000000"/>
          <w:sz w:val="22"/>
        </w:rPr>
        <w:t xml:space="preserve">Reopening record. </w:t>
      </w:r>
      <w:r>
        <w:rPr>
          <w:rFonts w:ascii="Times New Roman" w:hAnsi="Times New Roman"/>
          <w:b w:val="false"/>
          <w:i w:val="false"/>
          <w:color w:val="000000"/>
          <w:sz w:val="22"/>
        </w:rPr>
        <w:t>The commission or presiding officer, on the commission’s or presiding officer’s own motion or on the motion of a party, may reopen the record for the reception of further evidence. When the record was made before the commission, a motion to reopen the record may be made any time prior to the issuance of a final decision. When the record was made before a presiding officer, a motion to reopen the record may be made any time prior to issuance of the proposed decision. If the moving party requests the opportunity to present new evidence, the moving party will attach an affidavit from each witness who will present the new evidence with an explanation of the competence of the witness and a description of the evidence to be included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