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utilities commission or a majority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“Complainants”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persons who complain to the commission of any act or thing done or omitted to be done in violation, or claimed to be in violation, of any provision of Iowa Code chapters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or of any order or rule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office of consumer advocate, a division of the Iowa department of justice, referred to in Iowa Code chapter </w:t>
      </w:r>
      <w:hyperlink r:id="rId10">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11">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12">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“Data request”</w:t>
      </w:r>
      <w:r>
        <w:rPr>
          <w:rFonts w:ascii="Times New Roman" w:hAnsi="Times New Roman"/>
          <w:b w:val="false"/>
          <w:i w:val="false"/>
          <w:color w:val="000000"/>
          <w:sz w:val="22"/>
        </w:rPr>
        <w:t> </w:t>
      </w:r>
      <w:r>
        <w:rPr>
          <w:rFonts w:ascii="Times New Roman" w:hAnsi="Times New Roman"/>
          <w:b w:val="false"/>
          <w:i w:val="false"/>
          <w:color w:val="000000"/>
          <w:sz w:val="22"/>
        </w:rPr>
        <w:t>means a discovery procedure in which the requesting party asks another person for specified information or requests the production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“Expedited proceeding”</w:t>
      </w:r>
      <w:r>
        <w:rPr>
          <w:rFonts w:ascii="Times New Roman" w:hAnsi="Times New Roman"/>
          <w:b w:val="false"/>
          <w:i w:val="false"/>
          <w:color w:val="000000"/>
          <w:sz w:val="22"/>
        </w:rPr>
        <w:t> </w:t>
      </w:r>
      <w:r>
        <w:rPr>
          <w:rFonts w:ascii="Times New Roman" w:hAnsi="Times New Roman"/>
          <w:b w:val="false"/>
          <w:i w:val="false"/>
          <w:color w:val="000000"/>
          <w:sz w:val="22"/>
        </w:rPr>
        <w:t>means a proceeding before the commission in which a statutory or other provision of law directs the commission to render a decision in the proceeding in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“accepted for filing” by the commission as defined in rule </w:t>
      </w:r>
      <w:hyperlink r:id="rId13">
        <w:r>
          <w:rPr>
            <w:rStyle w:val="Hyperlink"/>
            <w:rFonts w:ascii="Times New Roman" w:hAnsi="Times New Roman"/>
            <w:b w:val="false"/>
            <w:i w:val="false"/>
            <w:color w:val="000000"/>
            <w:sz w:val="22"/>
          </w:rPr>
          <w:t>199—14.3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“Intervenor”</w:t>
      </w:r>
      <w:r>
        <w:rPr>
          <w:rFonts w:ascii="Times New Roman" w:hAnsi="Times New Roman"/>
          <w:b w:val="false"/>
          <w:i w:val="false"/>
          <w:color w:val="000000"/>
          <w:sz w:val="22"/>
        </w:rPr>
        <w:t> </w:t>
      </w:r>
      <w:r>
        <w:rPr>
          <w:rFonts w:ascii="Times New Roman" w:hAnsi="Times New Roman"/>
          <w:b w:val="false"/>
          <w:i w:val="false"/>
          <w:color w:val="000000"/>
          <w:sz w:val="22"/>
        </w:rPr>
        <w:t>means any person who, upon written petition, is permitted to intervene as a party in a specific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on which an order is uploaded into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named or admitted as a party in a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and includes individuals and all forms of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 party who, by written petition, application, or other filing, applies for or seeks relief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one commission member or another person designated by the commission with the authority to preside over a particular proceeding or matter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proceeding that has been assigned by the commission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 as prescribed in </w:t>
      </w:r>
      <w:hyperlink r:id="rId1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C.pdf" Type="http://schemas.openxmlformats.org/officeDocument/2006/relationships/hyperlink" Id="rId5"/>
    <Relationship TargetMode="External" Target="https://www.legis.iowa.gov/docs/ico/chapter/477.pdf" Type="http://schemas.openxmlformats.org/officeDocument/2006/relationships/hyperlink" Id="rId6"/>
    <Relationship TargetMode="External" Target="https://www.legis.iowa.gov/docs/ico/chapter/477A.pdf" Type="http://schemas.openxmlformats.org/officeDocument/2006/relationships/hyperlink" Id="rId7"/>
    <Relationship TargetMode="External" Target="https://www.legis.iowa.gov/docs/ico/chapter/477C.pdf" Type="http://schemas.openxmlformats.org/officeDocument/2006/relationships/hyperlink" Id="rId8"/>
    <Relationship TargetMode="External" Target="https://www.legis.iowa.gov/docs/ico/chapter/479B.pdf" Type="http://schemas.openxmlformats.org/officeDocument/2006/relationships/hyperlink" Id="rId9"/>
    <Relationship TargetMode="External" Target="https://www.legis.iowa.gov/docs/ico/chapter/475A.pdf" Type="http://schemas.openxmlformats.org/officeDocument/2006/relationships/hyperlink" Id="rId10"/>
    <Relationship TargetMode="External" Target="https://www.legis.iowa.gov/docs/ico/chapter/17A.2.pdf" Type="http://schemas.openxmlformats.org/officeDocument/2006/relationships/hyperlink" Id="rId11"/>
    <Relationship TargetMode="External" Target="https://www.legis.iowa.gov/docs/ico/chapter/17A.10A.pdf" Type="http://schemas.openxmlformats.org/officeDocument/2006/relationships/hyperlink" Id="rId12"/>
    <Relationship TargetMode="External" Target="https://www.legis.iowa.gov/docs/iac/rule/199.14.3.pdf" Type="http://schemas.openxmlformats.org/officeDocument/2006/relationships/hyperlink" Id="rId13"/>
    <Relationship TargetMode="External" Target="https://www.legis.iowa.gov/docs/ico/chapter/4.1.pdf" Type="http://schemas.openxmlformats.org/officeDocument/2006/relationships/hyperlink" Id="rId14"/>
    <Relationship TargetMode="External" Target="https://www.legis.iowa.gov/docs/iac/chapter/199.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