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199—2506.19</w:t>
      </w:r>
      <w:r>
        <w:rPr>
          <w:rFonts w:ascii="Times New Roman" w:hAnsi="Times New Roman"/>
          <w:b/>
          <w:i w:val="false"/>
          <w:color w:val="000000"/>
          <w:sz w:val="22"/>
        </w:rPr>
        <w:t xml:space="preserve">(17A,476) </w:t>
      </w:r>
      <w:r>
        <w:rPr>
          <w:rFonts w:ascii="Times New Roman" w:hAnsi="Times New Roman"/>
          <w:b/>
          <w:i w:val="false"/>
          <w:color w:val="000000"/>
          <w:sz w:val="22"/>
        </w:rPr>
        <w:t xml:space="preserve">Stipulations. </w:t>
      </w:r>
      <w:r>
        <w:rPr>
          <w:rFonts w:ascii="Times New Roman" w:hAnsi="Times New Roman"/>
          <w:b w:val="false"/>
          <w:i w:val="false"/>
          <w:color w:val="000000"/>
          <w:sz w:val="22"/>
        </w:rPr>
        <w:t>Parties to any proceeding or investigation may, by stipulation filed with the commission, agree upon the facts or law or any portion thereof involved in the controversy, subject to approval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