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199—2506.18</w:t>
      </w:r>
      <w:r>
        <w:rPr>
          <w:rFonts w:ascii="Times New Roman" w:hAnsi="Times New Roman"/>
          <w:b/>
          <w:i w:val="false"/>
          <w:color w:val="000000"/>
          <w:sz w:val="22"/>
        </w:rPr>
        <w:t xml:space="preserve">(17A,476) </w:t>
      </w:r>
      <w:r>
        <w:rPr>
          <w:rFonts w:ascii="Times New Roman" w:hAnsi="Times New Roman"/>
          <w:b/>
          <w:i w:val="false"/>
          <w:color w:val="000000"/>
          <w:sz w:val="22"/>
        </w:rPr>
        <w:t xml:space="preserve">Settlements. </w:t>
      </w:r>
      <w:r>
        <w:rPr>
          <w:rFonts w:ascii="Times New Roman" w:hAnsi="Times New Roman"/>
          <w:b w:val="false"/>
          <w:i w:val="false"/>
          <w:color w:val="000000"/>
          <w:sz w:val="22"/>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2506.18(1)</w:t>
      </w:r>
      <w:r>
        <w:rPr>
          <w:rFonts w:ascii="Times New Roman" w:hAnsi="Times New Roman"/>
          <w:b w:val="false"/>
          <w:i w:val="false"/>
          <w:color w:val="000000"/>
          <w:sz w:val="22"/>
        </w:rPr>
        <w:t> </w:t>
      </w:r>
      <w:r>
        <w:rPr>
          <w:rFonts w:ascii="Times New Roman" w:hAnsi="Times New Roman"/>
          <w:b w:val="false"/>
          <w:i/>
          <w:color w:val="000000"/>
          <w:sz w:val="22"/>
        </w:rPr>
        <w:t xml:space="preserve">Proposal of settlements. </w:t>
      </w:r>
      <w:r>
        <w:rPr>
          <w:rFonts w:ascii="Times New Roman" w:hAnsi="Times New Roman"/>
          <w:b w:val="false"/>
          <w:i w:val="false"/>
          <w:color w:val="000000"/>
          <w:sz w:val="22"/>
        </w:rPr>
        <w:t>Two or more parties may by written motion propose settlements for adoption by the commission or presiding officer. The motion will contain sufficient information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2506.18(2)</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After proposal of a settlement that is not supported by all parties, and prior to approval, the settling parties are to convene at least one conference with notice and opportunity to participate provided to all parties for the purpose of discussing the settlement proposal. Written notice of the date, time, and place is to be furnished at least seven days in advance to all parties to the proceeding. Only parties and their representatives are entitled to attend a settlement conference. A party that has been given notice and opportunity to participate in the conference and does not do so is deemed to have waived its right to contest a proposed settlement unless good cause is shown for the failure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2506.18(3)</w:t>
      </w:r>
      <w:r>
        <w:rPr>
          <w:rFonts w:ascii="Times New Roman" w:hAnsi="Times New Roman"/>
          <w:b w:val="false"/>
          <w:i w:val="false"/>
          <w:color w:val="000000"/>
          <w:sz w:val="22"/>
        </w:rPr>
        <w:t> </w:t>
      </w:r>
      <w:r>
        <w:rPr>
          <w:rFonts w:ascii="Times New Roman" w:hAnsi="Times New Roman"/>
          <w:b w:val="false"/>
          <w:i/>
          <w:color w:val="000000"/>
          <w:sz w:val="22"/>
        </w:rPr>
        <w:t xml:space="preserve">Comment period. </w:t>
      </w:r>
      <w:r>
        <w:rPr>
          <w:rFonts w:ascii="Times New Roman" w:hAnsi="Times New Roman"/>
          <w:b w:val="false"/>
          <w:i w:val="false"/>
          <w:color w:val="000000"/>
          <w:sz w:val="22"/>
        </w:rPr>
        <w:t>When a party to a proceeding does not join in a settlement proposed for adoption by the commission or presiding officer, the party may file comments contesting all or part of the settlement with the commission within 14 days of the filing of the motion proposing settlement unless otherwise ordered by the commission or the presiding officer. Unless otherwise ordered by the commission or presiding officer, parties may file reply comments within seven days of filing of the comments.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2506.18(4)</w:t>
      </w:r>
      <w:r>
        <w:rPr>
          <w:rFonts w:ascii="Times New Roman" w:hAnsi="Times New Roman"/>
          <w:b w:val="false"/>
          <w:i w:val="false"/>
          <w:color w:val="000000"/>
          <w:sz w:val="22"/>
        </w:rPr>
        <w:t> </w:t>
      </w:r>
      <w:r>
        <w:rPr>
          <w:rFonts w:ascii="Times New Roman" w:hAnsi="Times New Roman"/>
          <w:b w:val="false"/>
          <w:i/>
          <w:color w:val="000000"/>
          <w:sz w:val="22"/>
        </w:rPr>
        <w:t xml:space="preserve">Contents of comments. </w:t>
      </w:r>
      <w:r>
        <w:rPr>
          <w:rFonts w:ascii="Times New Roman" w:hAnsi="Times New Roman"/>
          <w:b w:val="false"/>
          <w:i w:val="false"/>
          <w:color w:val="000000"/>
          <w:sz w:val="22"/>
        </w:rPr>
        <w:t>A party contesting a proposed settlement is to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2506.18(5)</w:t>
      </w:r>
      <w:r>
        <w:rPr>
          <w:rFonts w:ascii="Times New Roman" w:hAnsi="Times New Roman"/>
          <w:b w:val="false"/>
          <w:i w:val="false"/>
          <w:color w:val="000000"/>
          <w:sz w:val="22"/>
        </w:rPr>
        <w:t> </w:t>
      </w:r>
      <w:r>
        <w:rPr>
          <w:rFonts w:ascii="Times New Roman" w:hAnsi="Times New Roman"/>
          <w:b w:val="false"/>
          <w:i/>
          <w:color w:val="000000"/>
          <w:sz w:val="22"/>
        </w:rPr>
        <w:t xml:space="preserve">Contested settlements. </w:t>
      </w:r>
      <w:r>
        <w:rPr>
          <w:rFonts w:ascii="Times New Roman" w:hAnsi="Times New Roman"/>
          <w:b w:val="false"/>
          <w:i w:val="false"/>
          <w:color w:val="000000"/>
          <w:sz w:val="22"/>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2506.18(6)</w:t>
      </w:r>
      <w:r>
        <w:rPr>
          <w:rFonts w:ascii="Times New Roman" w:hAnsi="Times New Roman"/>
          <w:b w:val="false"/>
          <w:i w:val="false"/>
          <w:color w:val="000000"/>
          <w:sz w:val="22"/>
        </w:rPr>
        <w:t> </w:t>
      </w:r>
      <w:r>
        <w:rPr>
          <w:rFonts w:ascii="Times New Roman" w:hAnsi="Times New Roman"/>
          <w:b w:val="false"/>
          <w:i/>
          <w:color w:val="000000"/>
          <w:sz w:val="22"/>
        </w:rPr>
        <w:t xml:space="preserve">Unanimous proposed settlement. </w:t>
      </w:r>
      <w:r>
        <w:rPr>
          <w:rFonts w:ascii="Times New Roman" w:hAnsi="Times New Roman"/>
          <w:b w:val="false"/>
          <w:i w:val="false"/>
          <w:color w:val="000000"/>
          <w:sz w:val="22"/>
        </w:rPr>
        <w:t xml:space="preserve">In proceedings where all parties join in the proposed settlement, parties may propose a settlement for adoption by the commission or presiding officer any time after docketing. Subrules </w:t>
      </w:r>
      <w:hyperlink r:id="rId4">
        <w:r>
          <w:rPr>
            <w:rStyle w:val="Hyperlink"/>
            <w:rFonts w:ascii="Times New Roman" w:hAnsi="Times New Roman"/>
            <w:b w:val="false"/>
            <w:i w:val="false"/>
            <w:color w:val="000000"/>
            <w:sz w:val="22"/>
          </w:rPr>
          <w:t>2506.18(2)</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2506.18(5)</w:t>
        </w:r>
      </w:hyperlink>
      <w:r>
        <w:rPr>
          <w:rFonts w:ascii="Times New Roman" w:hAnsi="Times New Roman"/>
          <w:b w:val="false"/>
          <w:i w:val="false"/>
          <w:color w:val="000000"/>
          <w:sz w:val="22"/>
        </w:rPr>
        <w:t xml:space="preserve"> do not apply to a proposed settlement filed concurrently by all parties to the proceeding. </w:t>
      </w:r>
      <w:hyperlink r:id="rId6">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xml:space="preserve"> applies to settlements in rate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2506.18(7)</w:t>
      </w:r>
      <w:r>
        <w:rPr>
          <w:rFonts w:ascii="Times New Roman" w:hAnsi="Times New Roman"/>
          <w:b w:val="false"/>
          <w:i w:val="false"/>
          <w:color w:val="000000"/>
          <w:sz w:val="22"/>
        </w:rPr>
        <w:t> </w:t>
      </w:r>
      <w:r>
        <w:rPr>
          <w:rFonts w:ascii="Times New Roman" w:hAnsi="Times New Roman"/>
          <w:b w:val="false"/>
          <w:i/>
          <w:color w:val="000000"/>
          <w:sz w:val="22"/>
        </w:rPr>
        <w:t xml:space="preserve">Inadmissibility. </w:t>
      </w:r>
      <w:r>
        <w:rPr>
          <w:rFonts w:ascii="Times New Roman" w:hAnsi="Times New Roman"/>
          <w:b w:val="false"/>
          <w:i w:val="false"/>
          <w:color w:val="000000"/>
          <w:sz w:val="22"/>
        </w:rPr>
        <w:t>Any discussion, admission, concession, or offer to settle, whether oral or written, made during any negotiation on a settlement is privileged to the extent provided by law, including but not limited to Iowa Rule of Evidence 5.408.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506.18.pdf" Type="http://schemas.openxmlformats.org/officeDocument/2006/relationships/hyperlink" Id="rId4"/>
    <Relationship TargetMode="External" Target="https://www.legis.iowa.gov/docs/iac/rule/199.2506.18.pdf" Type="http://schemas.openxmlformats.org/officeDocument/2006/relationships/hyperlink" Id="rId5"/>
    <Relationship TargetMode="External" Target="https://www.legis.iowa.gov/docs/iac/chapter/199.2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