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199—2506.17</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Prehearing or scheduling conference. </w:t>
      </w:r>
      <w:r>
        <w:rPr>
          <w:rFonts w:ascii="Times New Roman" w:hAnsi="Times New Roman"/>
          <w:b w:val="false"/>
          <w:i w:val="false"/>
          <w:color w:val="000000"/>
          <w:sz w:val="22"/>
        </w:rPr>
        <w:t>The commission or presiding officer may schedule a prehearing conference, scheduling conference, or other informal conference at the commission’s or presiding officer’s discretion or at the request of any party for any appropriate purpose. Any agreement reached at the conference will be made a part of the record in the manner directed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