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199—2506.15</w:t>
      </w:r>
      <w:r>
        <w:rPr>
          <w:rFonts w:ascii="Times New Roman" w:hAnsi="Times New Roman"/>
          <w:b/>
          <w:i w:val="false"/>
          <w:color w:val="000000"/>
          <w:sz w:val="22"/>
        </w:rPr>
        <w:t xml:space="preserve">(17A,476)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available to parties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2506.15(2)</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by the commission or presiding officer or agreed to by the parties, data requests or interrogatories served by any party shall either be responded to or objected to, with concisely stated grounds for relief, within seven business days of receipt. When a provision of law directs the commission to issue a decision in the case in six months or less, this time is reduced to five days. Data requests or interrogatories served on a day the commission is closed or after 4:30 p.m. central time on a day the commission is open are considered served on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2506.15(3)</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ordered by the commission or presiding officer, time periods for compliance with all forms of discovery other than those stated in subrule </w:t>
      </w:r>
      <w:hyperlink r:id="rId4">
        <w:r>
          <w:rPr>
            <w:rStyle w:val="Hyperlink"/>
            <w:rFonts w:ascii="Times New Roman" w:hAnsi="Times New Roman"/>
            <w:b w:val="false"/>
            <w:i w:val="false"/>
            <w:color w:val="000000"/>
            <w:sz w:val="22"/>
          </w:rPr>
          <w:t>2506.15(2)</w:t>
        </w:r>
      </w:hyperlink>
      <w:r>
        <w:rPr>
          <w:rFonts w:ascii="Times New Roman" w:hAnsi="Times New Roman"/>
          <w:b w:val="false"/>
          <w:i w:val="false"/>
          <w:color w:val="000000"/>
          <w:sz w:val="22"/>
        </w:rPr>
        <w:t xml:space="preserve"> are the same as those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2506.15(4)</w:t>
      </w:r>
      <w:r>
        <w:rPr>
          <w:rFonts w:ascii="Times New Roman" w:hAnsi="Times New Roman"/>
          <w:b w:val="false"/>
          <w:i w:val="false"/>
          <w:color w:val="000000"/>
          <w:sz w:val="22"/>
        </w:rPr>
        <w:t> </w:t>
      </w:r>
      <w:r>
        <w:rPr>
          <w:rFonts w:ascii="Times New Roman" w:hAnsi="Times New Roman"/>
          <w:b w:val="false"/>
          <w:i w:val="false"/>
          <w:color w:val="000000"/>
          <w:sz w:val="22"/>
        </w:rPr>
        <w:t>A party shall make a good faith effort to resolve a discovery dispute by personally speaking with or attempting to speak with the opposing party before filing a discovery motion with the commission. A motion relating to discovery must set forth the date and time the moving party spoke with or attempted to speak with the opposing party in a good faith attempt to resolve the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2506.1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