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199—2506.12</w:t>
      </w:r>
      <w:r>
        <w:rPr>
          <w:rFonts w:ascii="Times New Roman" w:hAnsi="Times New Roman"/>
          <w:b/>
          <w:i w:val="false"/>
          <w:color w:val="000000"/>
          <w:sz w:val="22"/>
        </w:rPr>
        <w:t xml:space="preserve">(17A,476)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Motions, unless made during hearing, are to be in writing, state the grounds for relief, and state the relief or order sought. Motions based on matters that do not appear of record may be supported by affidavit or other evidence. The filing of motions is governed by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Any party may file a written response to a motion no later than 14 days from the date the motion is filed unless the time period is extended or shortened by the commission or presiding officer. When a provision of law directs the commission to issue a decision in the case in six months or less, a party filing a written response is to do so within seven days from the date the motion is filed unless otherwise ordered by the commission or presiding officer. Failure to file a timely response may be deemed a waiver of objection to the motion. Requirements regarding motions related to discovery are contained in rule </w:t>
      </w:r>
      <w:hyperlink r:id="rId5">
        <w:r>
          <w:rPr>
            <w:rStyle w:val="Hyperlink"/>
            <w:rFonts w:ascii="Times New Roman" w:hAnsi="Times New Roman"/>
            <w:b w:val="false"/>
            <w:i w:val="false"/>
            <w:color w:val="000000"/>
            <w:sz w:val="22"/>
          </w:rPr>
          <w:t>199—2506.15</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rule/199.2506.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