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199—2506.10</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Prefiled testimony and exhibits.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2506.10(1)</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order the parties to file prefiled testimony and exhibits prior to the hearing. The use of prefiled testimony is the standard method for providing testimony in contested cases and other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w:t>
      </w:r>
      <w:r>
        <w:rPr>
          <w:rFonts w:ascii="Times New Roman" w:hAnsi="Times New Roman"/>
          <w:b w:val="false"/>
          <w:i w:val="false"/>
          <w:color w:val="000000"/>
          <w:sz w:val="22"/>
        </w:rPr>
        <w:t> </w:t>
      </w:r>
      <w:r>
        <w:rPr>
          <w:rFonts w:ascii="Times New Roman" w:hAnsi="Times New Roman"/>
          <w:b w:val="false"/>
          <w:i w:val="false"/>
          <w:color w:val="000000"/>
          <w:sz w:val="22"/>
        </w:rPr>
        <w:t>Prefiled testimony contains all statements that a witness intends to give under oath at the hearing, set forth in question and answer form. If possible, each line should be separately numbered. When a witness who has submitted prefiled testimony takes the stand, the witness does not ordinarily repeat the written testimony or give new testimony. Instead, the witness is cross-examined by the other parties concerning the statements already made in writing. However, the witness may be permitted to correct or update prefiled testimony on the stand and, in appropriate circumstances and with the approval of the commission or presiding officer, may give a summary of the prefiled testimony. If the witness has more than three substantive corrections to make to the prefiled testimony or exhibits, then the corrected testimony or exhibits shall be filed in the appropriate docket in the commission’s electronic filing system at least three days prior to the hearing. The prefiled testimony and any exhibits are to be marked and identified in conformance with the commission’s approved naming convention provided on the commission’s electronic filing system website or as directed in a commission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w:t>
      </w:r>
      <w:r>
        <w:rPr>
          <w:rFonts w:ascii="Times New Roman" w:hAnsi="Times New Roman"/>
          <w:b w:val="false"/>
          <w:i w:val="false"/>
          <w:color w:val="000000"/>
          <w:sz w:val="22"/>
        </w:rPr>
        <w:t> </w:t>
      </w:r>
      <w:r>
        <w:rPr>
          <w:rFonts w:ascii="Times New Roman" w:hAnsi="Times New Roman"/>
          <w:b w:val="false"/>
          <w:i w:val="false"/>
          <w:color w:val="000000"/>
          <w:sz w:val="22"/>
        </w:rPr>
        <w:t>Prefiled testimony and exhibits are to be accompanied by an affidavit in substantially the following form: “I, [person’s name], being first duly sworn on oath, state that I am the same [person’s name] identified in the testimony being filed with this affidavit, that I have caused the testimony [and exhibits] to be prepared and am familiar with its contents, and that the testimony [and exhibits] is true and correct to the best of my knowledge and belief as of the date of this affidavit.”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w:t>
      </w:r>
      <w:r>
        <w:rPr>
          <w:rFonts w:ascii="Times New Roman" w:hAnsi="Times New Roman"/>
          <w:b w:val="false"/>
          <w:i w:val="false"/>
          <w:color w:val="000000"/>
          <w:sz w:val="22"/>
        </w:rPr>
        <w:t> </w:t>
      </w:r>
      <w:r>
        <w:rPr>
          <w:rFonts w:ascii="Times New Roman" w:hAnsi="Times New Roman"/>
          <w:b w:val="false"/>
          <w:i w:val="false"/>
          <w:color w:val="000000"/>
          <w:sz w:val="22"/>
        </w:rPr>
        <w:t>Prefiled testimony, exhibits, and supporting documents shall be filed in the commission’s electronic filing system in conformance with this rule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supporting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commission’s standards for electronic information, which are available on the commission’s website or from the commission’s customer service center, govern the filing of electronic workpapers in native electronic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Workpapers’ underlying analyses and data presented in exhibits should be explicitly referenced within the exhibit, including the name and other identifiers (e.g., cell coordinates) for electronic workpapers and volume, tab, and page numbers for other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source of any number used in a workpaper that was not generated by that workpaper will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derivation or source of all numbers used in either testimony or exhibits that were not generated by workpapers.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any specific studies or financial literature relied upon or complete citations for them if publicly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Electronic copies, in native electronic format, of all computer-generated exhibits that comply with the commission’s standards for electronic information, which are available on the commission’s website or from the commission’s customer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standards for electronic information, which are available on the commission’s website or from the commission’s customer service center, and the electronic filing rules in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govern the filing of prefiled testimony and exhibits.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2506.10(6)</w:t>
      </w:r>
      <w:r>
        <w:rPr>
          <w:rFonts w:ascii="Times New Roman" w:hAnsi="Times New Roman"/>
          <w:b w:val="false"/>
          <w:i w:val="false"/>
          <w:color w:val="000000"/>
          <w:sz w:val="22"/>
        </w:rPr>
        <w:t> </w:t>
      </w:r>
      <w:r>
        <w:rPr>
          <w:rFonts w:ascii="Times New Roman" w:hAnsi="Times New Roman"/>
          <w:b w:val="false"/>
          <w:i w:val="false"/>
          <w:color w:val="000000"/>
          <w:sz w:val="22"/>
        </w:rPr>
        <w:t>If a party has filed part or all of its prefiled testimony and exhibits as confidential and then later withdraws the claim of confidentiality for part or all of the testimony and exhibits, or if the commission denies the request to hold the testimony and exhibits confidential, the party shall refile the testimony and exhibits with the information made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