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Records not routinely available for public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color w:val="000000"/>
          <w:sz w:val="22"/>
        </w:rPr>
        <w:t xml:space="preserve">Tax records. </w:t>
      </w:r>
      <w:r>
        <w:rPr>
          <w:rFonts w:ascii="Times New Roman" w:hAnsi="Times New Roman"/>
          <w:b w:val="false"/>
          <w:i w:val="false"/>
          <w:color w:val="000000"/>
          <w:sz w:val="22"/>
        </w:rPr>
        <w:t xml:space="preserve">The commission is required to withhold tax records from public inspection pursuant to Iowa Code section </w:t>
      </w:r>
      <w:hyperlink r:id="rId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color w:val="000000"/>
          <w:sz w:val="22"/>
        </w:rPr>
        <w:t xml:space="preserve">Records exempted pursuant to requests deemed granted by the commission. </w:t>
      </w:r>
      <w:r>
        <w:rPr>
          <w:rFonts w:ascii="Times New Roman" w:hAnsi="Times New Roman"/>
          <w:b w:val="false"/>
          <w:i w:val="false"/>
          <w:color w:val="000000"/>
          <w:sz w:val="22"/>
        </w:rPr>
        <w:t xml:space="preserve">Requests to withhold from public inspection the records and information listed in the paragraphs below are deemed granted by the commission pursuant to Iowa Code section </w:t>
      </w:r>
      <w:hyperlink r:id="rId5">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provided that the confidential portions of the filings are identified as confidential and filed as provided in </w:t>
      </w:r>
      <w:hyperlink r:id="rId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an attorney for the company or corporate officer avers that the material or information satisfies the requirements in Iowa Code section </w:t>
      </w:r>
      <w:hyperlink r:id="rId8">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The records or information filed pursuant to this subrule will be deemed confidential upon the filer’s receipt of a notice of electronic filing without further review or acknowledgement by the commission, and the record or information will be withheld from public inspection subject to the provisions of subrule </w:t>
      </w:r>
      <w:hyperlink r:id="rId10">
        <w:r>
          <w:rPr>
            <w:rStyle w:val="Hyperlink"/>
            <w:rFonts w:ascii="Times New Roman" w:hAnsi="Times New Roman"/>
            <w:b w:val="false"/>
            <w:i w:val="false"/>
            <w:color w:val="000000"/>
            <w:sz w:val="22"/>
          </w:rPr>
          <w:t>2505.5(4)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Negotiated transportation rates and prices for natural gas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Reservation charges for portfolio gas supply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Terms and prices for all hedging activity, including financial hedges and weather-related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Sales data by individual natural gas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Natural gas purchase volumes by individual receipt point, by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Specific gas costs included in interstate pipeline contracts and contracted volume quantities, invoices, commodity contracts, and individual commodity purchases and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Design day forecasting model reserve margin calculations for natural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Negotiated purchase prices for electric power, fuel,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Electric customer-specific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Power supply bills in support of energy adjustment clause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Network improvement and maintenance plans and related extensions and progress reports filed with the commission pursuant to </w:t>
      </w:r>
      <w:hyperlink r:id="rId11">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Wireless coverage area maps depicting signal strength filed with the commission pursuant to </w:t>
      </w:r>
      <w:hyperlink r:id="rId12">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Revenue recovery amounts and loop or line count data filed with the commission pursuant to </w:t>
      </w:r>
      <w:hyperlink r:id="rId13">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reports and loop or line count data included in rate floor data filed with the commission pursuant to </w:t>
      </w:r>
      <w:hyperlink r:id="rId14">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Loop or line count data included in rate floor data updates filed with the commission pursuant to </w:t>
      </w:r>
      <w:hyperlink r:id="rId15">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financial records filed by applicants for certificates of convenience and necessity to provide competitive local exchange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financial records, number of customers, and volumes filed by competitive natural gas providers in each company’s annual report. The aggregate total sales volume is not granted confidential treatment by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financial information regarding affiliate transactions required for rate-regulated utilities. This information is subject to staff and legal review to ensure the information protected is similar to other information included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Information filed in a particular docket that is of the same type, nature, and scope as information for which the commission previously granted confidentiality in that same docket.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20.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ac/chapter/199.1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ac/rule/199.2505.5.pdf" Type="http://schemas.openxmlformats.org/officeDocument/2006/relationships/hyperlink" Id="rId10"/>
    <Relationship TargetMode="External" Target="https://www.legis.iowa.gov/docs/iac/chapter/199.39.pdf" Type="http://schemas.openxmlformats.org/officeDocument/2006/relationships/hyperlink" Id="rId11"/>
    <Relationship TargetMode="External" Target="https://www.legis.iowa.gov/docs/iac/chapter/199.39.pdf" Type="http://schemas.openxmlformats.org/officeDocument/2006/relationships/hyperlink" Id="rId12"/>
    <Relationship TargetMode="External" Target="https://www.legis.iowa.gov/docs/iac/chapter/199.39.pdf" Type="http://schemas.openxmlformats.org/officeDocument/2006/relationships/hyperlink" Id="rId13"/>
    <Relationship TargetMode="External" Target="https://www.legis.iowa.gov/docs/iac/chapter/199.39.pdf" Type="http://schemas.openxmlformats.org/officeDocument/2006/relationships/hyperlink" Id="rId14"/>
    <Relationship TargetMode="External" Target="https://www.legis.iowa.gov/docs/iac/chapter/199.39.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