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199—25.1</w:t>
      </w:r>
      <w:r>
        <w:rPr>
          <w:rFonts w:ascii="Times New Roman" w:hAnsi="Times New Roman"/>
          <w:b/>
          <w:i w:val="false"/>
          <w:color w:val="000000"/>
          <w:sz w:val="22"/>
        </w:rPr>
        <w:t xml:space="preserve">(476,476A,478) </w:t>
      </w:r>
      <w:r>
        <w:rPr>
          <w:rFonts w:ascii="Times New Roman" w:hAnsi="Times New Roman"/>
          <w:b/>
          <w:i w:val="false"/>
          <w:color w:val="000000"/>
          <w:sz w:val="22"/>
        </w:rPr>
        <w:t xml:space="preserve">General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25.1(1)</w:t>
      </w:r>
      <w:r>
        <w:rPr>
          <w:rFonts w:ascii="Times New Roman" w:hAnsi="Times New Roman"/>
          <w:b w:val="false"/>
          <w:i w:val="false"/>
          <w:color w:val="000000"/>
          <w:sz w:val="22"/>
        </w:rPr>
        <w:t> </w:t>
      </w:r>
      <w:r>
        <w:rPr>
          <w:rFonts w:ascii="Times New Roman" w:hAnsi="Times New Roman"/>
          <w:b w:val="false"/>
          <w:i/>
          <w:color w:val="000000"/>
          <w:sz w:val="22"/>
        </w:rPr>
        <w:t xml:space="preserve">Authority. </w:t>
      </w:r>
      <w:r>
        <w:rPr>
          <w:rFonts w:ascii="Times New Roman" w:hAnsi="Times New Roman"/>
          <w:b w:val="false"/>
          <w:i w:val="false"/>
          <w:color w:val="000000"/>
          <w:sz w:val="22"/>
        </w:rPr>
        <w:t xml:space="preserve">The standards relating to electric and communication facilities in this chapter are prescribed by the Iowa utilities commission pursuant to Iowa Code sections </w:t>
      </w:r>
      <w:hyperlink r:id="rId4">
        <w:r>
          <w:rPr>
            <w:rStyle w:val="Hyperlink"/>
            <w:rFonts w:ascii="Times New Roman" w:hAnsi="Times New Roman"/>
            <w:b w:val="false"/>
            <w:i w:val="false"/>
            <w:color w:val="000000"/>
            <w:sz w:val="22"/>
          </w:rPr>
          <w:t>476.1</w:t>
        </w:r>
      </w:hyperlink>
      <w:r>
        <w:rPr>
          <w:rFonts w:ascii="Times New Roman" w:hAnsi="Times New Roman"/>
          <w:b w:val="false"/>
          <w:i w:val="false"/>
          <w:color w:val="000000"/>
          <w:sz w:val="22"/>
        </w:rPr>
        <w:t xml:space="preserve">, </w:t>
      </w:r>
      <w:hyperlink r:id="rId5">
        <w:r>
          <w:rPr>
            <w:rStyle w:val="Hyperlink"/>
            <w:rFonts w:ascii="Times New Roman" w:hAnsi="Times New Roman"/>
            <w:b w:val="false"/>
            <w:i w:val="false"/>
            <w:color w:val="000000"/>
            <w:sz w:val="22"/>
          </w:rPr>
          <w:t>476.1B</w:t>
        </w:r>
      </w:hyperlink>
      <w:r>
        <w:rPr>
          <w:rFonts w:ascii="Times New Roman" w:hAnsi="Times New Roman"/>
          <w:b w:val="false"/>
          <w:i w:val="false"/>
          <w:color w:val="000000"/>
          <w:sz w:val="22"/>
        </w:rPr>
        <w:t xml:space="preserve">, </w:t>
      </w:r>
      <w:hyperlink r:id="rId6">
        <w:r>
          <w:rPr>
            <w:rStyle w:val="Hyperlink"/>
            <w:rFonts w:ascii="Times New Roman" w:hAnsi="Times New Roman"/>
            <w:b w:val="false"/>
            <w:i w:val="false"/>
            <w:color w:val="000000"/>
            <w:sz w:val="22"/>
          </w:rPr>
          <w:t>476.2</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476A.12</w:t>
        </w:r>
      </w:hyperlink>
      <w:r>
        <w:rPr>
          <w:rFonts w:ascii="Times New Roman" w:hAnsi="Times New Roman"/>
          <w:b w:val="false"/>
          <w:i w:val="false"/>
          <w:color w:val="000000"/>
          <w:sz w:val="22"/>
        </w:rPr>
        <w:t xml:space="preserve">, </w:t>
      </w:r>
      <w:hyperlink r:id="rId8">
        <w:r>
          <w:rPr>
            <w:rStyle w:val="Hyperlink"/>
            <w:rFonts w:ascii="Times New Roman" w:hAnsi="Times New Roman"/>
            <w:b w:val="false"/>
            <w:i w:val="false"/>
            <w:color w:val="000000"/>
            <w:sz w:val="22"/>
          </w:rPr>
          <w:t>478.19</w:t>
        </w:r>
      </w:hyperlink>
      <w:r>
        <w:rPr>
          <w:rFonts w:ascii="Times New Roman" w:hAnsi="Times New Roman"/>
          <w:b w:val="false"/>
          <w:i w:val="false"/>
          <w:color w:val="000000"/>
          <w:sz w:val="22"/>
        </w:rPr>
        <w:t xml:space="preserve">, and </w:t>
      </w:r>
      <w:hyperlink r:id="rId9">
        <w:r>
          <w:rPr>
            <w:rStyle w:val="Hyperlink"/>
            <w:rFonts w:ascii="Times New Roman" w:hAnsi="Times New Roman"/>
            <w:b w:val="false"/>
            <w:i w:val="false"/>
            <w:color w:val="000000"/>
            <w:sz w:val="22"/>
          </w:rPr>
          <w:t>478.20</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25.1(2)</w:t>
      </w:r>
      <w:r>
        <w:rPr>
          <w:rFonts w:ascii="Times New Roman" w:hAnsi="Times New Roman"/>
          <w:b w:val="false"/>
          <w:i w:val="false"/>
          <w:color w:val="000000"/>
          <w:sz w:val="22"/>
        </w:rPr>
        <w:t> </w:t>
      </w:r>
      <w:r>
        <w:rPr>
          <w:rFonts w:ascii="Times New Roman" w:hAnsi="Times New Roman"/>
          <w:b w:val="false"/>
          <w:i/>
          <w:color w:val="000000"/>
          <w:sz w:val="22"/>
        </w:rPr>
        <w:t xml:space="preserve">Purpose. </w:t>
      </w:r>
      <w:r>
        <w:rPr>
          <w:rFonts w:ascii="Times New Roman" w:hAnsi="Times New Roman"/>
          <w:b w:val="false"/>
          <w:i w:val="false"/>
          <w:color w:val="000000"/>
          <w:sz w:val="22"/>
        </w:rPr>
        <w:t>The purpose of this chapter is to promote safe and adequate service to the public, to provide standards for uniform and reasonable practices by utilities, and to establish a basis for determining the reasonableness of such demands as may be made by the public upon the utilities. The rules apply to electric and communication utility facilities located in the state of Iowa and supersede all conflicting rules of any such utility. In no way does this rule relieve any utility from any of its duties under the laws of this state.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25.1(3)</w:t>
      </w:r>
      <w:r>
        <w:rPr>
          <w:rFonts w:ascii="Times New Roman" w:hAnsi="Times New Roman"/>
          <w:b w:val="false"/>
          <w:i w:val="false"/>
          <w:color w:val="000000"/>
          <w:sz w:val="22"/>
        </w:rPr>
        <w:t> </w:t>
      </w:r>
      <w:r>
        <w:rPr>
          <w:rFonts w:ascii="Times New Roman" w:hAnsi="Times New Roman"/>
          <w:b w:val="false"/>
          <w:i/>
          <w:color w:val="000000"/>
          <w:sz w:val="22"/>
        </w:rPr>
        <w:t xml:space="preserve">Definition of utility. </w:t>
      </w:r>
      <w:r>
        <w:rPr>
          <w:rFonts w:ascii="Times New Roman" w:hAnsi="Times New Roman"/>
          <w:b w:val="false"/>
          <w:i w:val="false"/>
          <w:color w:val="000000"/>
          <w:sz w:val="22"/>
        </w:rPr>
        <w:t>For the purpose of this chapter, a utility is any owner or operator of electric or communications facilities subject to the safety jurisdiction of the commission.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25.1(4)</w:t>
      </w:r>
      <w:r>
        <w:rPr>
          <w:rFonts w:ascii="Times New Roman" w:hAnsi="Times New Roman"/>
          <w:b w:val="false"/>
          <w:i w:val="false"/>
          <w:color w:val="000000"/>
          <w:sz w:val="22"/>
        </w:rPr>
        <w:t> </w:t>
      </w:r>
      <w:r>
        <w:rPr>
          <w:rFonts w:ascii="Times New Roman" w:hAnsi="Times New Roman"/>
          <w:b w:val="false"/>
          <w:i/>
          <w:color w:val="000000"/>
          <w:sz w:val="22"/>
        </w:rPr>
        <w:t xml:space="preserve">Definition of crop and pasture land. </w:t>
      </w:r>
      <w:r>
        <w:rPr>
          <w:rFonts w:ascii="Times New Roman" w:hAnsi="Times New Roman"/>
          <w:b w:val="false"/>
          <w:i w:val="false"/>
          <w:color w:val="000000"/>
          <w:sz w:val="22"/>
        </w:rPr>
        <w:t>For the purpose of this chapter, “crop and pasture land” means any land devoted to agricultural use, including but not limited to land used for crop production, cleared land capable of being cultivated, hay land, pasture land, truck gardens, farmsteads, commercial agricultural-related facilities, feedlots, rangeland, livestock confinement systems, land on which farm buildings are located, and land used to implement management practices and structures for the improvement or conservation of soil, water, air, and related plant and animal resources.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9045C</w:t>
      </w:r>
      <w:r>
        <w:rPr>
          <w:rFonts w:ascii="Times New Roman" w:hAnsi="Times New Roman"/>
          <w:b w:val="false"/>
          <w:i w:val="false"/>
          <w:color w:val="000000"/>
          <w:sz w:val="16"/>
        </w:rPr>
        <w:t>, IAB 3/19/25, effective 4/23/25</w:t>
      </w:r>
      <w:r>
        <w:rPr>
          <w:rFonts w:ascii="Times New Roman" w:hAnsi="Times New Roman"/>
          <w:b w:val="false"/>
          <w:i w:val="false"/>
          <w:color w:val="000000"/>
          <w:sz w:val="16"/>
        </w:rPr>
        <w:t xml:space="preserve">; </w:t>
      </w:r>
      <w:r>
        <w:rPr>
          <w:rFonts w:ascii="Times New Roman" w:hAnsi="Times New Roman"/>
          <w:b/>
          <w:i w:val="false"/>
          <w:color w:val="000000"/>
          <w:sz w:val="16"/>
        </w:rPr>
        <w:t>ARC 0404D</w:t>
      </w:r>
      <w:r>
        <w:rPr>
          <w:rFonts w:ascii="Times New Roman" w:hAnsi="Times New Roman"/>
          <w:b w:val="false"/>
          <w:i w:val="false"/>
          <w:color w:val="000000"/>
          <w:sz w:val="16"/>
        </w:rPr>
        <w:t>, IAB 6/24/26, effective 7/29/26</w:t>
      </w:r>
      <w:r>
        <w:rPr>
          <w:rFonts w:ascii="Times New Roman" w:hAnsi="Times New Roman"/>
          <w:b w:val="false"/>
          <w:i w:val="false"/>
          <w:color w:val="000000"/>
          <w:sz w:val="16"/>
        </w:rPr>
        <w:t>]</w:t>
      </w:r>
    </w:p>
    <w:sectPr>
      <w:footerReference r:id="rId10"/>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6.1.pdf" Type="http://schemas.openxmlformats.org/officeDocument/2006/relationships/hyperlink" Id="rId4"/>
    <Relationship TargetMode="External" Target="https://www.legis.iowa.gov/docs/ico/chapter/476.1B.pdf" Type="http://schemas.openxmlformats.org/officeDocument/2006/relationships/hyperlink" Id="rId5"/>
    <Relationship TargetMode="External" Target="https://www.legis.iowa.gov/docs/ico/chapter/476.2.pdf" Type="http://schemas.openxmlformats.org/officeDocument/2006/relationships/hyperlink" Id="rId6"/>
    <Relationship TargetMode="External" Target="https://www.legis.iowa.gov/docs/ico/chapter/476A.12.pdf" Type="http://schemas.openxmlformats.org/officeDocument/2006/relationships/hyperlink" Id="rId7"/>
    <Relationship TargetMode="External" Target="https://www.legis.iowa.gov/docs/ico/chapter/478.19.pdf" Type="http://schemas.openxmlformats.org/officeDocument/2006/relationships/hyperlink" Id="rId8"/>
    <Relationship TargetMode="External" Target="https://www.legis.iowa.gov/docs/ico/chapter/478.20.pdf" Type="http://schemas.openxmlformats.org/officeDocument/2006/relationships/hyperlink" Id="rId9"/>
    <Relationship Target="footer.xml" Type="http://schemas.openxmlformats.org/officeDocument/2006/relationships/footer" Id="rId10"/>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