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199—11.5</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a new franchise. </w:t>
      </w:r>
      <w:r>
        <w:rPr>
          <w:rFonts w:ascii="Times New Roman" w:hAnsi="Times New Roman"/>
          <w:b w:val="false"/>
          <w:i w:val="false"/>
          <w:color w:val="000000"/>
          <w:sz w:val="22"/>
        </w:rPr>
        <w:t>A single docket will be assigned to a proposed transmission line even if the transmission line will be located in more than one county. The electric company may request one franchise for the entire transmission line or may request separate franchises in each county where the proposed transmission line is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Petition and exhibits. </w:t>
      </w:r>
      <w:r>
        <w:rPr>
          <w:rFonts w:ascii="Times New Roman" w:hAnsi="Times New Roman"/>
          <w:b w:val="false"/>
          <w:i w:val="false"/>
          <w:color w:val="000000"/>
          <w:sz w:val="22"/>
        </w:rPr>
        <w:t>A petition for a new franchise shall be filed on forms prescribed by the commission, be notarized, and have all required exhibits attached. The petition shall be attested to by an officer, official, or attorney with authority to represent the electric company. The following exhibits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A legal description of the route. The description shall include the name of the county, the maximum and nominal voltages, the beginning point and endpoint of the transmission line, the termini of the transmission line, the total mileage, and whether the route is on public, private, or railroad right-of-way. In the case of multicounty projects, the description shall identify all counties involved in the total project and the termini located in other counties. When the route is in or adjacent to the right-of-way of a named road or a railroad, the exhibit shall specifically identify the road or railroad by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map showing the route of the transmission line drawn with reasonable accuracy, considering the scale. The map may be to any scale appropriate for the level of detail to be shown but not smaller than one inch to the mile and is to be legible when printed on paper no larger than 11 by 17 inches. The filing company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transmission line that is the subject of the petition, including beginning point and endpoint and, when the transmission line is parallel to a road or railroad, which side the line is on.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and section lines, section numbers, and township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roads, named streams and bodies of water, and any other pertinent natural or man-made features or landmarks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corporate limits of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names and boundaries of any public lands or parks, recreational areas, preserves or wildlife refuges.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electric lines, including lines owned by the electric company, within six-tenths of a mile of the route, including the voltage at which the lines are operated, whether the lines are overhead or buried, and the names and addresses of the owners. Any electric lines to be removed or relocated shall be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location of railroad rights-of-way, including the names and addresses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location of airports or landing strips within one mile of the route, along with the names and addresses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location of pipelines used for the transportation of any solid, liquid, or gaseous substance, except water, within six-tenths of a mile of the route, along with the names and addresses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the owners of telephone, communication, or cable television lines within six-tenths of a mile of the route. The location of these lines need not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names and addresses of the owners of rural water districts organized pursuant to Iowa Code chapter </w:t>
      </w:r>
      <w:hyperlink r:id="rId4">
        <w:r>
          <w:rPr>
            <w:rStyle w:val="Hyperlink"/>
            <w:rFonts w:ascii="Times New Roman" w:hAnsi="Times New Roman"/>
            <w:b w:val="false"/>
            <w:i w:val="false"/>
            <w:color w:val="000000"/>
            <w:sz w:val="22"/>
          </w:rPr>
          <w:t>357A</w:t>
        </w:r>
      </w:hyperlink>
      <w:r>
        <w:rPr>
          <w:rFonts w:ascii="Times New Roman" w:hAnsi="Times New Roman"/>
          <w:b w:val="false"/>
          <w:i w:val="false"/>
          <w:color w:val="000000"/>
          <w:sz w:val="22"/>
        </w:rPr>
        <w:t xml:space="preserve"> that have facilities within six-tenths of a mile of the route. The location of these facilities need not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locations of any buildings and any grain bins for which a conductor clearance drawing is provided as part of Exhibit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map of the entire route to be franchised if the route is located in more than one county or there is more than one map for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Technical information and engineering specifications describing typical materials, equipment, and assembly methods as specified on forms provided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The exhibit shall consist of a written text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with an allegation and supporting information that the transmission line is necessary to serve a public use and represents a reasonable relationship to an overall plan of transmitting electricity in the public interest with any additional substantiated allegations as may be required by Iowa Code section </w:t>
      </w:r>
      <w:hyperlink r:id="rId5">
        <w:r>
          <w:rPr>
            <w:rStyle w:val="Hyperlink"/>
            <w:rFonts w:ascii="Times New Roman" w:hAnsi="Times New Roman"/>
            <w:b w:val="false"/>
            <w:i w:val="false"/>
            <w:color w:val="000000"/>
            <w:sz w:val="22"/>
          </w:rPr>
          <w:t>478.3(2)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route or any portion thereof is not near and parallel to roads or railroad rights-of-way, or along division lines of the lands, according to government surveys, an explanation of why such parallel routing is not practicable or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regarding the availability of routes on an existing electric line right-of-way and an explanation of why this route was not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explanation in support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new franchise is sought for an existing transmission line, historical information regarding the prior franchise.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status of any other authorizations the electric company is required to obtain to construct the proposed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related to the transmission line’s inclusion in planning organized by regional transmission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r>
        <w:rPr>
          <w:rFonts w:ascii="Times New Roman" w:hAnsi="Times New Roman"/>
          <w:b w:val="false"/>
          <w:i w:val="false"/>
          <w:color w:val="000000"/>
          <w:sz w:val="22"/>
        </w:rPr>
        <w:t xml:space="preserve">This exhibit is required only if the petition requests the right of eminent domain. This exhibit shall be in its final form prior to issuance of the official notice by the commission and approval of the eminent domain notice required by Iowa Code section </w:t>
      </w:r>
      <w:hyperlink r:id="rId6">
        <w:r>
          <w:rPr>
            <w:rStyle w:val="Hyperlink"/>
            <w:rFonts w:ascii="Times New Roman" w:hAnsi="Times New Roman"/>
            <w:b w:val="false"/>
            <w:i w:val="false"/>
            <w:color w:val="000000"/>
            <w:sz w:val="22"/>
          </w:rPr>
          <w:t>478.6(2)</w:t>
        </w:r>
      </w:hyperlink>
      <w:r>
        <w:rPr>
          <w:rFonts w:ascii="Times New Roman" w:hAnsi="Times New Roman"/>
          <w:b w:val="false"/>
          <w:i w:val="false"/>
          <w:color w:val="000000"/>
          <w:sz w:val="22"/>
        </w:rPr>
        <w:t>. The exhibit shall consist of a map of the route showing the location of each property for which the right of eminent domain is sought, and for each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desired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easement rights being sought, including the right to install more than one circuit if an existing transmission line is proposed to be collated with the proposed new transmission line in the manner described in subrule 11.6(4), as well as the names of the owner and operator of the existing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map drawn to an appropriate scale showing the boundaries of the property, the boundaries and dimensions of the proposed easement, the location of all electric lines and supports within the proposed easement, the location of and distance to any building within 100 feet of the proposed transmission line, and any other features pertinent to the location of the transmission line, the supporting structures, or the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affidavit affirming and describing the good-faith effort undertaken and the review of land records performed to identify all affected persons for all parcels over which the electric company is seeking eminent domain. The affidavit shall be signed by an attorney representing the electric company or an electric company employee responsible for conducting or overseeing the good-faith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 xml:space="preserve">The showing of notice to all persons identified in numbered paragraphs </w:t>
      </w:r>
      <w:hyperlink r:id="rId7">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(1)“6” through </w:t>
      </w:r>
      <w:hyperlink r:id="rId8">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 xml:space="preserve">The affidavit required by Iowa Code section </w:t>
      </w:r>
      <w:hyperlink r:id="rId9">
        <w:r>
          <w:rPr>
            <w:rStyle w:val="Hyperlink"/>
            <w:rFonts w:ascii="Times New Roman" w:hAnsi="Times New Roman"/>
            <w:b w:val="false"/>
            <w:i w:val="false"/>
            <w:color w:val="000000"/>
            <w:sz w:val="22"/>
          </w:rPr>
          <w:t>478.3(2)</w:t>
        </w:r>
      </w:hyperlink>
      <w:r>
        <w:rPr>
          <w:rFonts w:ascii="Times New Roman" w:hAnsi="Times New Roman"/>
          <w:b w:val="false"/>
          <w:i/>
          <w:color w:val="000000"/>
          <w:sz w:val="22"/>
        </w:rPr>
        <w:t>“c”</w:t>
      </w:r>
      <w:r>
        <w:rPr>
          <w:rFonts w:ascii="Times New Roman" w:hAnsi="Times New Roman"/>
          <w:b w:val="false"/>
          <w:i w:val="false"/>
          <w:color w:val="000000"/>
          <w:sz w:val="22"/>
        </w:rPr>
        <w:t xml:space="preserve"> on the holding of an informational meeting. Copies of the mailed notice letter and the published notice(s) of each informational meeting shall be attached to the affidavit. This exhibit is required only if an informational meeting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 xml:space="preserve">This exhibit is required only if the petition requests separate pole lines as identified in rule </w:t>
      </w:r>
      <w:hyperlink r:id="rId10">
        <w:r>
          <w:rPr>
            <w:rStyle w:val="Hyperlink"/>
            <w:rFonts w:ascii="Times New Roman" w:hAnsi="Times New Roman"/>
            <w:b w:val="false"/>
            <w:i w:val="false"/>
            <w:color w:val="000000"/>
            <w:sz w:val="22"/>
          </w:rPr>
          <w:t>199—11.11</w:t>
        </w:r>
      </w:hyperlink>
      <w:r>
        <w:rPr>
          <w:rFonts w:ascii="Times New Roman" w:hAnsi="Times New Roman"/>
          <w:b w:val="false"/>
          <w:i w:val="false"/>
          <w:color w:val="000000"/>
          <w:sz w:val="22"/>
        </w:rPr>
        <w:t>(478). This exhibit shall contain a request describing in detail the good cause for the commission to authorize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Exhibit I. </w:t>
      </w:r>
      <w:r>
        <w:rPr>
          <w:rFonts w:ascii="Times New Roman" w:hAnsi="Times New Roman"/>
          <w:b w:val="false"/>
          <w:i w:val="false"/>
          <w:color w:val="000000"/>
          <w:sz w:val="22"/>
        </w:rPr>
        <w:t xml:space="preserve">This exhibit is required only for electric transmission lines with a maximum operating voltage of 170,000 volts or more. This exhibit shall contain an explanation for the electric company’s plan to comply with the noise limit set by </w:t>
      </w:r>
      <w:hyperlink r:id="rId11">
        <w:r>
          <w:rPr>
            <w:rStyle w:val="Hyperlink"/>
            <w:rFonts w:ascii="Times New Roman" w:hAnsi="Times New Roman"/>
            <w:b w:val="false"/>
            <w:i w:val="false"/>
            <w:color w:val="000000"/>
            <w:sz w:val="22"/>
          </w:rPr>
          <w:t>199—subrule 25.6(1)</w:t>
        </w:r>
      </w:hyperlink>
      <w:r>
        <w:rPr>
          <w:rFonts w:ascii="Times New Roman" w:hAnsi="Times New Roman"/>
          <w:b w:val="false"/>
          <w:i w:val="false"/>
          <w:color w:val="000000"/>
          <w:sz w:val="22"/>
        </w:rPr>
        <w:t>. The explanation shall include the assessment at the minimum conductor height and the maximum rms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Exhibit J. </w:t>
      </w:r>
      <w:r>
        <w:rPr>
          <w:rFonts w:ascii="Times New Roman" w:hAnsi="Times New Roman"/>
          <w:b w:val="false"/>
          <w:i w:val="false"/>
          <w:color w:val="000000"/>
          <w:sz w:val="22"/>
        </w:rPr>
        <w:t xml:space="preserve">This exhibit is required only for electric transmission lines with a maximum operating voltage of 170,000 volts or more. This exhibit shall contain an explanation for the electric company’s plan to comply with the maximum electric field strength limit set by </w:t>
      </w:r>
      <w:hyperlink r:id="rId12">
        <w:r>
          <w:rPr>
            <w:rStyle w:val="Hyperlink"/>
            <w:rFonts w:ascii="Times New Roman" w:hAnsi="Times New Roman"/>
            <w:b w:val="false"/>
            <w:i w:val="false"/>
            <w:color w:val="000000"/>
            <w:sz w:val="22"/>
          </w:rPr>
          <w:t>199—subrule 25.6(2)</w:t>
        </w:r>
      </w:hyperlink>
      <w:r>
        <w:rPr>
          <w:rFonts w:ascii="Times New Roman" w:hAnsi="Times New Roman"/>
          <w:b w:val="false"/>
          <w:i w:val="false"/>
          <w:color w:val="000000"/>
          <w:sz w:val="22"/>
        </w:rPr>
        <w:t>. The explanation shall include the assessment at the minimum conductor height and the maximum rms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Other exhibits. </w:t>
      </w:r>
      <w:r>
        <w:rPr>
          <w:rFonts w:ascii="Times New Roman" w:hAnsi="Times New Roman"/>
          <w:b w:val="false"/>
          <w:i w:val="false"/>
          <w:color w:val="000000"/>
          <w:sz w:val="22"/>
        </w:rPr>
        <w:t>The commission may require filing of additional exhibits if further information is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a petition for a new franchise is filed with the commission, the commission shall prepare a notice addressed to the citizens of each county through which the transmission line or lines extend. The electric company shall cause this notice to be published in a newspaper of general circulation in each county for two consecutive weeks and file proof of publication with the commission. This published notice shall constitute sufficient notice to all persons of the proceeding, except owners of record and persons in possession of land to be crossed for which voluntary easements have not been obtained at the time of the first publication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electric company shall serve notice in writing of the filing of the petition on the affected persons over which easements have not been obtained. The served notices shall be by ordinary mail, addressed to the last-known address, mailed not later than the first day of publication of the official notice. One copy of each letter of notification, or one copy of the letter accompanied by a written statement listing all persons to which it was mailed and the date of mailing, shall be filed with the commission not later than five days after the date of second publication of the official notice. The electric company shall file a statement describing the action taken to ensure that the company has identified the names and addresses of all affected persons over which voluntary easements have not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Published notices of petitions for franchise shall include provisions whereby interested persons can examine a map of the route. When the petition is filed, the electric company shall state whether a map is to be published with the notice or whether the notice is to include a telephone number and an address through which persons may request a map from the electric company at no cost. The map need not be as detailed as the Exhibit B map but shall include the proposed route, section lines, section and township numbers, roads and railroads, city boundaries, and rivers and named bodies of water. A copy of this map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persons. </w:t>
      </w:r>
      <w:r>
        <w:rPr>
          <w:rFonts w:ascii="Times New Roman" w:hAnsi="Times New Roman"/>
          <w:b w:val="false"/>
          <w:i w:val="false"/>
          <w:color w:val="000000"/>
          <w:sz w:val="22"/>
        </w:rPr>
        <w:t xml:space="preserve">The electric company shall give written notice, by ordinary mail, mailed at the time the petition is filed with the commission and accompanied by a map showing the route of the proposed electric transmission line, to the persons identified in numbered paragraphs </w:t>
      </w:r>
      <w:hyperlink r:id="rId13">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(1)“6” through </w:t>
      </w:r>
      <w:hyperlink r:id="rId14">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Eminent domain notice. </w:t>
      </w:r>
      <w:r>
        <w:rPr>
          <w:rFonts w:ascii="Times New Roman" w:hAnsi="Times New Roman"/>
          <w:b w:val="false"/>
          <w:i w:val="false"/>
          <w:color w:val="000000"/>
          <w:sz w:val="22"/>
        </w:rPr>
        <w:t xml:space="preserve">If an electric company is requesting the right of eminent domain over property as part of a petition for a new franchise, notice shall be provided pursuant to subrule </w:t>
      </w:r>
      <w:hyperlink r:id="rId15">
        <w:r>
          <w:rPr>
            <w:rStyle w:val="Hyperlink"/>
            <w:rFonts w:ascii="Times New Roman" w:hAnsi="Times New Roman"/>
            <w:b w:val="false"/>
            <w:i w:val="false"/>
            <w:color w:val="000000"/>
            <w:sz w:val="22"/>
          </w:rPr>
          <w:t>11.10(1)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0404D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7A.pdf" Type="http://schemas.openxmlformats.org/officeDocument/2006/relationships/hyperlink" Id="rId4"/>
    <Relationship TargetMode="External" Target="https://www.legis.iowa.gov/docs/ico/chapter/478.3.pdf" Type="http://schemas.openxmlformats.org/officeDocument/2006/relationships/hyperlink" Id="rId5"/>
    <Relationship TargetMode="External" Target="https://www.legis.iowa.gov/docs/ico/chapter/478.6.pdf" Type="http://schemas.openxmlformats.org/officeDocument/2006/relationships/hyperlink" Id="rId6"/>
    <Relationship TargetMode="External" Target="https://www.legis.iowa.gov/docs/iac/rule/199.11.5.pdf" Type="http://schemas.openxmlformats.org/officeDocument/2006/relationships/hyperlink" Id="rId7"/>
    <Relationship TargetMode="External" Target="https://www.legis.iowa.gov/docs/iac/rule/199.11.5.pdf" Type="http://schemas.openxmlformats.org/officeDocument/2006/relationships/hyperlink" Id="rId8"/>
    <Relationship TargetMode="External" Target="https://www.legis.iowa.gov/docs/ico/chapter/478.3.pdf" Type="http://schemas.openxmlformats.org/officeDocument/2006/relationships/hyperlink" Id="rId9"/>
    <Relationship TargetMode="External" Target="https://www.legis.iowa.gov/docs/iac/rule/199.11.11.pdf" Type="http://schemas.openxmlformats.org/officeDocument/2006/relationships/hyperlink" Id="rId10"/>
    <Relationship TargetMode="External" Target="https://www.legis.iowa.gov/docs/iac/rule/199.25.6.pdf" Type="http://schemas.openxmlformats.org/officeDocument/2006/relationships/hyperlink" Id="rId11"/>
    <Relationship TargetMode="External" Target="https://www.legis.iowa.gov/docs/iac/rule/199.25.6.pdf" Type="http://schemas.openxmlformats.org/officeDocument/2006/relationships/hyperlink" Id="rId12"/>
    <Relationship TargetMode="External" Target="https://www.legis.iowa.gov/docs/iac/rule/199.11.5.pdf" Type="http://schemas.openxmlformats.org/officeDocument/2006/relationships/hyperlink" Id="rId13"/>
    <Relationship TargetMode="External" Target="https://www.legis.iowa.gov/docs/iac/rule/199.11.5.pdf" Type="http://schemas.openxmlformats.org/officeDocument/2006/relationships/hyperlink" Id="rId14"/>
    <Relationship TargetMode="External" Target="https://www.legis.iowa.gov/docs/iac/rule/199.11.10.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