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191—2506.33</w:t>
      </w:r>
      <w:r>
        <w:rPr>
          <w:rFonts w:ascii="Times New Roman" w:hAnsi="Times New Roman"/>
          <w:b/>
          <w:i w:val="false"/>
          <w:color w:val="000000"/>
          <w:sz w:val="22"/>
        </w:rPr>
        <w:t xml:space="preserve">(17A) </w:t>
      </w:r>
      <w:r>
        <w:rPr>
          <w:rFonts w:ascii="Times New Roman" w:hAnsi="Times New Roman"/>
          <w:b/>
          <w:i w:val="false"/>
          <w:color w:val="000000"/>
          <w:sz w:val="22"/>
        </w:rPr>
        <w:t xml:space="preserve">Report by administrative law judge. </w:t>
      </w:r>
      <w:r>
        <w:rPr>
          <w:rFonts w:ascii="Times New Roman" w:hAnsi="Times New Roman"/>
          <w:b w:val="false"/>
          <w:i w:val="false"/>
          <w:color w:val="000000"/>
          <w:sz w:val="22"/>
        </w:rPr>
        <w:t>Any administrative law judge serving as a presiding officer in a contested case shall report to the commissioner on a monthly basis all matters taken under advisement for longer than 60 days, together with an explanation of the reasons for the delay and an expected date of a proposed decision. A matter shall be reported when all hearings have been completed and the matter awaits the issuance of a proposed decision without further appearance of the parties or their attorneys, even though briefs or transcripts have been ordered but have not yet been filed. The report shall be due on the tenth day of each calendar month for the period ending with the last day of the preceding calendar month. The report shall be signed by the administrative law judge. All reports received will be filed with the division as records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0385D</w:t>
      </w:r>
      <w:r>
        <w:rPr>
          <w:rFonts w:ascii="Times New Roman" w:hAnsi="Times New Roman"/>
          <w:b w:val="false"/>
          <w:i w:val="false"/>
          <w:color w:val="000000"/>
          <w:sz w:val="16"/>
        </w:rPr>
        <w:t>, IAB 6/24/26, effective 6/4/26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