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191—2506.32</w:t>
      </w:r>
      <w:r>
        <w:rPr>
          <w:rFonts w:ascii="Times New Roman" w:hAnsi="Times New Roman"/>
          <w:b/>
          <w:i w:val="false"/>
          <w:color w:val="000000"/>
          <w:sz w:val="22"/>
        </w:rPr>
        <w:t xml:space="preserve">(17A) </w:t>
      </w:r>
      <w:r>
        <w:rPr>
          <w:rFonts w:ascii="Times New Roman" w:hAnsi="Times New Roman"/>
          <w:b/>
          <w:i w:val="false"/>
          <w:color w:val="000000"/>
          <w:sz w:val="22"/>
        </w:rPr>
        <w:t xml:space="preserve">Summary cease and desist orders. </w:t>
      </w:r>
      <w:r>
        <w:rPr>
          <w:rFonts w:ascii="Times New Roman" w:hAnsi="Times New Roman"/>
          <w:b w:val="false"/>
          <w:i w:val="false"/>
          <w:color w:val="000000"/>
          <w:sz w:val="22"/>
        </w:rPr>
        <w:t>When a statute authorizes action to be taken without a prior hearing, the commissioner’s order shall be sent to the last-known address of the party by return receipt requested unless the party is a licensee in which case the order shall be sent by restricted certified mail. The order shall include a brief statement of findings of fact, conclusions of law, and policy reasons for the decision; direct the person or insurer to cease and desist from engaging in the act or practice or to take other affirmative action as necessary, in the judgment of the commissioner, to comply with the statute; and state that the party will be afforded a contested case proceeding and a hearing if a request is filed with the commissioner within 30 days from the date that the order is issued unless a different time is specified by statute. The commissioner shall issue a notice of hearing no later than 30 days from the date of receipt of a timely request for a contested case proceeding and hearing. If a statute requires a hearing to be held following issuance of a summary order, the date and time of that hearing shall be set forth in the order. Summary orders shall remain effective during the pendency of proceedings.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0385D</w:t>
      </w:r>
      <w:r>
        <w:rPr>
          <w:rFonts w:ascii="Times New Roman" w:hAnsi="Times New Roman"/>
          <w:b w:val="false"/>
          <w:i w:val="false"/>
          <w:color w:val="000000"/>
          <w:sz w:val="16"/>
        </w:rPr>
        <w:t>, IAB 6/24/26, effective 6/4/26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